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D10604">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780F08" w:rsidP="00853C09">
      <w:pPr>
        <w:pBdr>
          <w:top w:val="nil"/>
          <w:left w:val="nil"/>
          <w:bottom w:val="nil"/>
          <w:right w:val="nil"/>
          <w:between w:val="nil"/>
          <w:bar w:val="nil"/>
        </w:pBdr>
        <w:spacing w:after="0"/>
        <w:rPr>
          <w:rFonts w:eastAsia="Arial Unicode MS" w:cs="Times New Roman"/>
          <w:szCs w:val="24"/>
          <w:bdr w:val="nil"/>
          <w:lang w:eastAsia="ru-RU"/>
        </w:rPr>
      </w:pPr>
      <w:r w:rsidRPr="00BD29EC">
        <w:rPr>
          <w:rFonts w:eastAsia="Arial Unicode MS" w:cs="Times New Roman"/>
          <w:szCs w:val="24"/>
          <w:bdr w:val="nil"/>
          <w:lang w:eastAsia="ru-RU"/>
        </w:rPr>
        <w:t>Цель 1: Повсеместная ликвидация нищеты во всех ее формах</w:t>
      </w:r>
      <w:r w:rsidR="00090327">
        <w:rPr>
          <w:rFonts w:eastAsia="Arial Unicode MS" w:cs="Times New Roman"/>
          <w:szCs w:val="24"/>
          <w:bdr w:val="nil"/>
          <w:lang w:eastAsia="ru-RU"/>
        </w:rPr>
        <w:t>.</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Default="00780F08" w:rsidP="00781DE7">
      <w:pPr>
        <w:pBdr>
          <w:top w:val="nil"/>
          <w:left w:val="nil"/>
          <w:bottom w:val="nil"/>
          <w:right w:val="nil"/>
          <w:between w:val="nil"/>
          <w:bar w:val="nil"/>
        </w:pBdr>
        <w:spacing w:after="0"/>
        <w:rPr>
          <w:rFonts w:cs="Times New Roman"/>
          <w:szCs w:val="24"/>
        </w:rPr>
      </w:pPr>
      <w:r w:rsidRPr="00BD29EC">
        <w:rPr>
          <w:rFonts w:cs="Times New Roman"/>
          <w:szCs w:val="24"/>
        </w:rPr>
        <w:t>1.</w:t>
      </w:r>
      <w:r w:rsidR="00090327">
        <w:rPr>
          <w:rFonts w:cs="Times New Roman"/>
          <w:szCs w:val="24"/>
        </w:rPr>
        <w:t>а</w:t>
      </w:r>
      <w:r w:rsidRPr="00BD29EC">
        <w:rPr>
          <w:rFonts w:cs="Times New Roman"/>
          <w:szCs w:val="24"/>
        </w:rPr>
        <w:t xml:space="preserve">.  </w:t>
      </w:r>
      <w:r w:rsidR="00090327" w:rsidRPr="00090327">
        <w:rPr>
          <w:rFonts w:cs="Times New Roman"/>
          <w:szCs w:val="24"/>
        </w:rPr>
        <w:t xml:space="preserve">Обеспечить мобилизацию значительных ресурсов из самых разных источников, в том числе на основе активизации сотрудничества в целях развития, с </w:t>
      </w:r>
      <w:proofErr w:type="gramStart"/>
      <w:r w:rsidR="00090327" w:rsidRPr="00090327">
        <w:rPr>
          <w:rFonts w:cs="Times New Roman"/>
          <w:szCs w:val="24"/>
        </w:rPr>
        <w:t>тем</w:t>
      </w:r>
      <w:proofErr w:type="gramEnd"/>
      <w:r w:rsidR="00090327" w:rsidRPr="00090327">
        <w:rPr>
          <w:rFonts w:cs="Times New Roman"/>
          <w:szCs w:val="24"/>
        </w:rPr>
        <w:t xml:space="preserve"> чтобы предоставить развивающимся странам, особенно наименее развитым странам, достаточные и предсказуемые средства для осуществления программ и стратегий по ликвидации нищеты во всех ее формах</w:t>
      </w:r>
      <w:r w:rsidR="00090327">
        <w:rPr>
          <w:rFonts w:cs="Times New Roman"/>
          <w:szCs w:val="24"/>
        </w:rPr>
        <w:t>.</w:t>
      </w:r>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780F08" w:rsidRPr="00BD29EC">
        <w:rPr>
          <w:rFonts w:cs="Times New Roman"/>
          <w:szCs w:val="24"/>
        </w:rPr>
        <w:t>1.</w:t>
      </w:r>
      <w:r w:rsidR="00090327">
        <w:rPr>
          <w:rFonts w:cs="Times New Roman"/>
          <w:szCs w:val="24"/>
        </w:rPr>
        <w:t>а</w:t>
      </w:r>
      <w:r w:rsidR="00780F08" w:rsidRPr="00BD29EC">
        <w:rPr>
          <w:rFonts w:cs="Times New Roman"/>
          <w:szCs w:val="24"/>
        </w:rPr>
        <w:t>.</w:t>
      </w:r>
      <w:r w:rsidR="00B61272">
        <w:rPr>
          <w:rFonts w:cs="Times New Roman"/>
          <w:szCs w:val="24"/>
        </w:rPr>
        <w:t>2</w:t>
      </w:r>
      <w:r w:rsidR="00780F08" w:rsidRPr="00BD29EC">
        <w:rPr>
          <w:rFonts w:cs="Times New Roman"/>
          <w:szCs w:val="24"/>
        </w:rPr>
        <w:t xml:space="preserve"> </w:t>
      </w:r>
      <w:r w:rsidR="00B61272" w:rsidRPr="00B61272">
        <w:rPr>
          <w:rFonts w:cs="Times New Roman"/>
          <w:szCs w:val="24"/>
        </w:rPr>
        <w:t>Доля расходов на основные услуги (образование, здравоохранение и социальную защиту) в общей сумме государственных расходов</w:t>
      </w:r>
      <w:r w:rsidR="00B61272">
        <w:rPr>
          <w:rFonts w:cs="Times New Roman"/>
          <w:szCs w:val="24"/>
        </w:rPr>
        <w:t>.</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D10604" w:rsidRPr="00D475FE" w:rsidRDefault="00D10604" w:rsidP="00D10604">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D10604">
        <w:rPr>
          <w:rFonts w:eastAsia="Arial Unicode MS" w:cs="Times New Roman"/>
          <w:szCs w:val="24"/>
          <w:bdr w:val="nil"/>
          <w:lang w:val="en-US" w:eastAsia="ru-RU"/>
        </w:rPr>
        <w:t>SG</w:t>
      </w:r>
      <w:r w:rsidRPr="00D475FE">
        <w:rPr>
          <w:rFonts w:eastAsia="Arial Unicode MS" w:cs="Times New Roman"/>
          <w:szCs w:val="24"/>
          <w:bdr w:val="nil"/>
          <w:lang w:eastAsia="ru-RU"/>
        </w:rPr>
        <w:t>_</w:t>
      </w:r>
      <w:r w:rsidRPr="00D10604">
        <w:rPr>
          <w:rFonts w:eastAsia="Arial Unicode MS" w:cs="Times New Roman"/>
          <w:szCs w:val="24"/>
          <w:bdr w:val="nil"/>
          <w:lang w:val="en-US" w:eastAsia="ru-RU"/>
        </w:rPr>
        <w:t>XPD</w:t>
      </w:r>
      <w:r w:rsidRPr="00D475FE">
        <w:rPr>
          <w:rFonts w:eastAsia="Arial Unicode MS" w:cs="Times New Roman"/>
          <w:szCs w:val="24"/>
          <w:bdr w:val="nil"/>
          <w:lang w:eastAsia="ru-RU"/>
        </w:rPr>
        <w:t>_</w:t>
      </w:r>
      <w:r w:rsidRPr="00D10604">
        <w:rPr>
          <w:rFonts w:eastAsia="Arial Unicode MS" w:cs="Times New Roman"/>
          <w:szCs w:val="24"/>
          <w:bdr w:val="nil"/>
          <w:lang w:val="en-US" w:eastAsia="ru-RU"/>
        </w:rPr>
        <w:t>EDUC</w:t>
      </w:r>
      <w:r w:rsidRPr="00D475FE">
        <w:rPr>
          <w:rFonts w:eastAsia="Arial Unicode MS" w:cs="Times New Roman"/>
          <w:szCs w:val="24"/>
          <w:bdr w:val="nil"/>
          <w:lang w:eastAsia="ru-RU"/>
        </w:rPr>
        <w:t xml:space="preserve"> </w:t>
      </w:r>
      <w:r w:rsidR="00495155">
        <w:rPr>
          <w:rFonts w:eastAsia="Arial Unicode MS" w:cs="Times New Roman"/>
          <w:szCs w:val="24"/>
          <w:bdr w:val="nil"/>
          <w:lang w:eastAsia="ru-RU"/>
        </w:rPr>
        <w:t>–</w:t>
      </w:r>
      <w:r w:rsidRPr="00D475FE">
        <w:rPr>
          <w:rFonts w:eastAsia="Arial Unicode MS" w:cs="Times New Roman"/>
          <w:szCs w:val="24"/>
          <w:bdr w:val="nil"/>
          <w:lang w:eastAsia="ru-RU"/>
        </w:rPr>
        <w:t xml:space="preserve"> </w:t>
      </w:r>
      <w:r w:rsidR="00D475FE" w:rsidRPr="00B61272">
        <w:rPr>
          <w:rFonts w:cs="Times New Roman"/>
          <w:szCs w:val="24"/>
        </w:rPr>
        <w:t>До</w:t>
      </w:r>
      <w:r w:rsidR="00D475FE">
        <w:rPr>
          <w:rFonts w:cs="Times New Roman"/>
          <w:szCs w:val="24"/>
        </w:rPr>
        <w:t xml:space="preserve">ля расходов на основные услуги </w:t>
      </w:r>
      <w:r w:rsidR="00D475FE" w:rsidRPr="00B61272">
        <w:rPr>
          <w:rFonts w:cs="Times New Roman"/>
          <w:szCs w:val="24"/>
        </w:rPr>
        <w:t>в общей сумме государственных расходов</w:t>
      </w:r>
      <w:r w:rsidR="00D475FE">
        <w:rPr>
          <w:rFonts w:cs="Times New Roman"/>
          <w:szCs w:val="24"/>
        </w:rPr>
        <w:t xml:space="preserve">, на </w:t>
      </w:r>
      <w:r w:rsidR="00D475FE" w:rsidRPr="00B61272">
        <w:rPr>
          <w:rFonts w:cs="Times New Roman"/>
          <w:szCs w:val="24"/>
        </w:rPr>
        <w:t>образование</w:t>
      </w:r>
      <w:r w:rsidR="00D475FE" w:rsidRPr="00D475FE">
        <w:rPr>
          <w:rFonts w:eastAsia="Arial Unicode MS" w:cs="Times New Roman"/>
          <w:szCs w:val="24"/>
          <w:bdr w:val="nil"/>
          <w:lang w:eastAsia="ru-RU"/>
        </w:rPr>
        <w:t xml:space="preserve"> </w:t>
      </w:r>
      <w:r w:rsidRPr="00D475FE">
        <w:rPr>
          <w:rFonts w:eastAsia="Arial Unicode MS" w:cs="Times New Roman"/>
          <w:szCs w:val="24"/>
          <w:bdr w:val="nil"/>
          <w:lang w:eastAsia="ru-RU"/>
        </w:rPr>
        <w:t>[1.</w:t>
      </w:r>
      <w:r w:rsidRPr="00D10604">
        <w:rPr>
          <w:rFonts w:eastAsia="Arial Unicode MS" w:cs="Times New Roman"/>
          <w:szCs w:val="24"/>
          <w:bdr w:val="nil"/>
          <w:lang w:val="en-US" w:eastAsia="ru-RU"/>
        </w:rPr>
        <w:t>a</w:t>
      </w:r>
      <w:r w:rsidRPr="00D475FE">
        <w:rPr>
          <w:rFonts w:eastAsia="Arial Unicode MS" w:cs="Times New Roman"/>
          <w:szCs w:val="24"/>
          <w:bdr w:val="nil"/>
          <w:lang w:eastAsia="ru-RU"/>
        </w:rPr>
        <w:t>.2]</w:t>
      </w:r>
    </w:p>
    <w:p w:rsidR="00D10604" w:rsidRPr="00D475FE" w:rsidRDefault="00D10604" w:rsidP="00D10604">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D10604">
        <w:rPr>
          <w:rFonts w:eastAsia="Arial Unicode MS" w:cs="Times New Roman"/>
          <w:szCs w:val="24"/>
          <w:bdr w:val="nil"/>
          <w:lang w:val="en-US" w:eastAsia="ru-RU"/>
        </w:rPr>
        <w:t>SG</w:t>
      </w:r>
      <w:r w:rsidRPr="00D475FE">
        <w:rPr>
          <w:rFonts w:eastAsia="Arial Unicode MS" w:cs="Times New Roman"/>
          <w:szCs w:val="24"/>
          <w:bdr w:val="nil"/>
          <w:lang w:eastAsia="ru-RU"/>
        </w:rPr>
        <w:t>_</w:t>
      </w:r>
      <w:r w:rsidRPr="00D10604">
        <w:rPr>
          <w:rFonts w:eastAsia="Arial Unicode MS" w:cs="Times New Roman"/>
          <w:szCs w:val="24"/>
          <w:bdr w:val="nil"/>
          <w:lang w:val="en-US" w:eastAsia="ru-RU"/>
        </w:rPr>
        <w:t>XPD</w:t>
      </w:r>
      <w:r w:rsidRPr="00D475FE">
        <w:rPr>
          <w:rFonts w:eastAsia="Arial Unicode MS" w:cs="Times New Roman"/>
          <w:szCs w:val="24"/>
          <w:bdr w:val="nil"/>
          <w:lang w:eastAsia="ru-RU"/>
        </w:rPr>
        <w:t>_</w:t>
      </w:r>
      <w:r w:rsidRPr="00D10604">
        <w:rPr>
          <w:rFonts w:eastAsia="Arial Unicode MS" w:cs="Times New Roman"/>
          <w:szCs w:val="24"/>
          <w:bdr w:val="nil"/>
          <w:lang w:val="en-US" w:eastAsia="ru-RU"/>
        </w:rPr>
        <w:t>ESSRV</w:t>
      </w:r>
      <w:r w:rsidRPr="00D475FE">
        <w:rPr>
          <w:rFonts w:eastAsia="Arial Unicode MS" w:cs="Times New Roman"/>
          <w:szCs w:val="24"/>
          <w:bdr w:val="nil"/>
          <w:lang w:eastAsia="ru-RU"/>
        </w:rPr>
        <w:t xml:space="preserve"> </w:t>
      </w:r>
      <w:r w:rsidR="00495155">
        <w:rPr>
          <w:rFonts w:eastAsia="Arial Unicode MS" w:cs="Times New Roman"/>
          <w:szCs w:val="24"/>
          <w:bdr w:val="nil"/>
          <w:lang w:eastAsia="ru-RU"/>
        </w:rPr>
        <w:t>–</w:t>
      </w:r>
      <w:r w:rsidRPr="00D475FE">
        <w:rPr>
          <w:rFonts w:eastAsia="Arial Unicode MS" w:cs="Times New Roman"/>
          <w:szCs w:val="24"/>
          <w:bdr w:val="nil"/>
          <w:lang w:eastAsia="ru-RU"/>
        </w:rPr>
        <w:t xml:space="preserve"> </w:t>
      </w:r>
      <w:r w:rsidR="00D475FE" w:rsidRPr="00B61272">
        <w:rPr>
          <w:rFonts w:cs="Times New Roman"/>
          <w:szCs w:val="24"/>
        </w:rPr>
        <w:t>Д</w:t>
      </w:r>
      <w:r w:rsidR="00495155">
        <w:rPr>
          <w:rFonts w:cs="Times New Roman"/>
          <w:szCs w:val="24"/>
        </w:rPr>
        <w:t xml:space="preserve">оля расходов на основные услуги </w:t>
      </w:r>
      <w:r w:rsidR="00D475FE" w:rsidRPr="00B61272">
        <w:rPr>
          <w:rFonts w:cs="Times New Roman"/>
          <w:szCs w:val="24"/>
        </w:rPr>
        <w:t>в общей сумме государственных расходов</w:t>
      </w:r>
      <w:r w:rsidR="00495155">
        <w:rPr>
          <w:rFonts w:eastAsia="Arial Unicode MS" w:cs="Times New Roman"/>
          <w:szCs w:val="24"/>
          <w:bdr w:val="nil"/>
          <w:lang w:eastAsia="ru-RU"/>
        </w:rPr>
        <w:t xml:space="preserve"> </w:t>
      </w:r>
      <w:r w:rsidRPr="00D475FE">
        <w:rPr>
          <w:rFonts w:eastAsia="Arial Unicode MS" w:cs="Times New Roman"/>
          <w:szCs w:val="24"/>
          <w:bdr w:val="nil"/>
          <w:lang w:eastAsia="ru-RU"/>
        </w:rPr>
        <w:t>[1.</w:t>
      </w:r>
      <w:r w:rsidRPr="00D10604">
        <w:rPr>
          <w:rFonts w:eastAsia="Arial Unicode MS" w:cs="Times New Roman"/>
          <w:szCs w:val="24"/>
          <w:bdr w:val="nil"/>
          <w:lang w:val="en-US" w:eastAsia="ru-RU"/>
        </w:rPr>
        <w:t>a</w:t>
      </w:r>
      <w:r w:rsidRPr="00D475FE">
        <w:rPr>
          <w:rFonts w:eastAsia="Arial Unicode MS" w:cs="Times New Roman"/>
          <w:szCs w:val="24"/>
          <w:bdr w:val="nil"/>
          <w:lang w:eastAsia="ru-RU"/>
        </w:rPr>
        <w:t>.2]</w:t>
      </w:r>
    </w:p>
    <w:p w:rsidR="00D10604" w:rsidRPr="00D475FE" w:rsidRDefault="00D10604" w:rsidP="00D10604">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D10604">
        <w:rPr>
          <w:rFonts w:eastAsia="Arial Unicode MS" w:cs="Times New Roman"/>
          <w:szCs w:val="24"/>
          <w:bdr w:val="nil"/>
          <w:lang w:val="en-US" w:eastAsia="ru-RU"/>
        </w:rPr>
        <w:t>SG</w:t>
      </w:r>
      <w:r w:rsidRPr="00D475FE">
        <w:rPr>
          <w:rFonts w:eastAsia="Arial Unicode MS" w:cs="Times New Roman"/>
          <w:szCs w:val="24"/>
          <w:bdr w:val="nil"/>
          <w:lang w:eastAsia="ru-RU"/>
        </w:rPr>
        <w:t>_</w:t>
      </w:r>
      <w:r w:rsidRPr="00D10604">
        <w:rPr>
          <w:rFonts w:eastAsia="Arial Unicode MS" w:cs="Times New Roman"/>
          <w:szCs w:val="24"/>
          <w:bdr w:val="nil"/>
          <w:lang w:val="en-US" w:eastAsia="ru-RU"/>
        </w:rPr>
        <w:t>XPD</w:t>
      </w:r>
      <w:r w:rsidRPr="00D475FE">
        <w:rPr>
          <w:rFonts w:eastAsia="Arial Unicode MS" w:cs="Times New Roman"/>
          <w:szCs w:val="24"/>
          <w:bdr w:val="nil"/>
          <w:lang w:eastAsia="ru-RU"/>
        </w:rPr>
        <w:t>_</w:t>
      </w:r>
      <w:r w:rsidRPr="00D10604">
        <w:rPr>
          <w:rFonts w:eastAsia="Arial Unicode MS" w:cs="Times New Roman"/>
          <w:szCs w:val="24"/>
          <w:bdr w:val="nil"/>
          <w:lang w:val="en-US" w:eastAsia="ru-RU"/>
        </w:rPr>
        <w:t>HLTH</w:t>
      </w:r>
      <w:r w:rsidRPr="00D475FE">
        <w:rPr>
          <w:rFonts w:eastAsia="Arial Unicode MS" w:cs="Times New Roman"/>
          <w:szCs w:val="24"/>
          <w:bdr w:val="nil"/>
          <w:lang w:eastAsia="ru-RU"/>
        </w:rPr>
        <w:t xml:space="preserve"> </w:t>
      </w:r>
      <w:r w:rsidR="00495155">
        <w:rPr>
          <w:rFonts w:eastAsia="Arial Unicode MS" w:cs="Times New Roman"/>
          <w:szCs w:val="24"/>
          <w:bdr w:val="nil"/>
          <w:lang w:eastAsia="ru-RU"/>
        </w:rPr>
        <w:t>–</w:t>
      </w:r>
      <w:r w:rsidRPr="00D475FE">
        <w:rPr>
          <w:rFonts w:eastAsia="Arial Unicode MS" w:cs="Times New Roman"/>
          <w:szCs w:val="24"/>
          <w:bdr w:val="nil"/>
          <w:lang w:eastAsia="ru-RU"/>
        </w:rPr>
        <w:t xml:space="preserve"> </w:t>
      </w:r>
      <w:r w:rsidR="00D475FE" w:rsidRPr="00B61272">
        <w:rPr>
          <w:rFonts w:cs="Times New Roman"/>
          <w:szCs w:val="24"/>
        </w:rPr>
        <w:t>До</w:t>
      </w:r>
      <w:r w:rsidR="00495155">
        <w:rPr>
          <w:rFonts w:cs="Times New Roman"/>
          <w:szCs w:val="24"/>
        </w:rPr>
        <w:t xml:space="preserve">ля расходов на основные услуги </w:t>
      </w:r>
      <w:r w:rsidR="00D475FE" w:rsidRPr="00B61272">
        <w:rPr>
          <w:rFonts w:cs="Times New Roman"/>
          <w:szCs w:val="24"/>
        </w:rPr>
        <w:t>в общей сумме государственных расходов</w:t>
      </w:r>
      <w:r w:rsidR="00E2004D">
        <w:rPr>
          <w:rFonts w:cs="Times New Roman"/>
          <w:szCs w:val="24"/>
        </w:rPr>
        <w:t>, на</w:t>
      </w:r>
      <w:r w:rsidR="00D475FE" w:rsidRPr="00D475FE">
        <w:rPr>
          <w:rFonts w:eastAsia="Arial Unicode MS" w:cs="Times New Roman"/>
          <w:szCs w:val="24"/>
          <w:bdr w:val="nil"/>
          <w:lang w:eastAsia="ru-RU"/>
        </w:rPr>
        <w:t xml:space="preserve"> </w:t>
      </w:r>
      <w:r w:rsidR="00495155">
        <w:rPr>
          <w:rFonts w:cs="Times New Roman"/>
          <w:szCs w:val="24"/>
        </w:rPr>
        <w:t>здравоохранение</w:t>
      </w:r>
      <w:r w:rsidRPr="00D475FE">
        <w:rPr>
          <w:rFonts w:eastAsia="Arial Unicode MS" w:cs="Times New Roman"/>
          <w:szCs w:val="24"/>
          <w:bdr w:val="nil"/>
          <w:lang w:eastAsia="ru-RU"/>
        </w:rPr>
        <w:t xml:space="preserve"> [1.</w:t>
      </w:r>
      <w:r w:rsidRPr="00D10604">
        <w:rPr>
          <w:rFonts w:eastAsia="Arial Unicode MS" w:cs="Times New Roman"/>
          <w:szCs w:val="24"/>
          <w:bdr w:val="nil"/>
          <w:lang w:val="en-US" w:eastAsia="ru-RU"/>
        </w:rPr>
        <w:t>a</w:t>
      </w:r>
      <w:r w:rsidRPr="00D475FE">
        <w:rPr>
          <w:rFonts w:eastAsia="Arial Unicode MS" w:cs="Times New Roman"/>
          <w:szCs w:val="24"/>
          <w:bdr w:val="nil"/>
          <w:lang w:eastAsia="ru-RU"/>
        </w:rPr>
        <w:t>.2]</w:t>
      </w:r>
    </w:p>
    <w:p w:rsidR="00D10604" w:rsidRPr="00D475FE" w:rsidRDefault="00D10604" w:rsidP="00D10604">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D10604">
        <w:rPr>
          <w:rFonts w:eastAsia="Arial Unicode MS" w:cs="Times New Roman"/>
          <w:szCs w:val="24"/>
          <w:bdr w:val="nil"/>
          <w:lang w:val="en-US" w:eastAsia="ru-RU"/>
        </w:rPr>
        <w:t>SG</w:t>
      </w:r>
      <w:r w:rsidRPr="00D475FE">
        <w:rPr>
          <w:rFonts w:eastAsia="Arial Unicode MS" w:cs="Times New Roman"/>
          <w:szCs w:val="24"/>
          <w:bdr w:val="nil"/>
          <w:lang w:eastAsia="ru-RU"/>
        </w:rPr>
        <w:t>_</w:t>
      </w:r>
      <w:r w:rsidRPr="00D10604">
        <w:rPr>
          <w:rFonts w:eastAsia="Arial Unicode MS" w:cs="Times New Roman"/>
          <w:szCs w:val="24"/>
          <w:bdr w:val="nil"/>
          <w:lang w:val="en-US" w:eastAsia="ru-RU"/>
        </w:rPr>
        <w:t>XPD</w:t>
      </w:r>
      <w:r w:rsidRPr="00D475FE">
        <w:rPr>
          <w:rFonts w:eastAsia="Arial Unicode MS" w:cs="Times New Roman"/>
          <w:szCs w:val="24"/>
          <w:bdr w:val="nil"/>
          <w:lang w:eastAsia="ru-RU"/>
        </w:rPr>
        <w:t>_</w:t>
      </w:r>
      <w:r w:rsidRPr="00D10604">
        <w:rPr>
          <w:rFonts w:eastAsia="Arial Unicode MS" w:cs="Times New Roman"/>
          <w:szCs w:val="24"/>
          <w:bdr w:val="nil"/>
          <w:lang w:val="en-US" w:eastAsia="ru-RU"/>
        </w:rPr>
        <w:t>PROT</w:t>
      </w:r>
      <w:r w:rsidRPr="00D475FE">
        <w:rPr>
          <w:rFonts w:eastAsia="Arial Unicode MS" w:cs="Times New Roman"/>
          <w:szCs w:val="24"/>
          <w:bdr w:val="nil"/>
          <w:lang w:eastAsia="ru-RU"/>
        </w:rPr>
        <w:t xml:space="preserve"> </w:t>
      </w:r>
      <w:r w:rsidR="00D475FE">
        <w:rPr>
          <w:rFonts w:eastAsia="Arial Unicode MS" w:cs="Times New Roman"/>
          <w:szCs w:val="24"/>
          <w:bdr w:val="nil"/>
          <w:lang w:eastAsia="ru-RU"/>
        </w:rPr>
        <w:t>–</w:t>
      </w:r>
      <w:r w:rsidRPr="00D475FE">
        <w:rPr>
          <w:rFonts w:eastAsia="Arial Unicode MS" w:cs="Times New Roman"/>
          <w:szCs w:val="24"/>
          <w:bdr w:val="nil"/>
          <w:lang w:eastAsia="ru-RU"/>
        </w:rPr>
        <w:t xml:space="preserve"> </w:t>
      </w:r>
      <w:r w:rsidR="00D475FE" w:rsidRPr="00B61272">
        <w:rPr>
          <w:rFonts w:cs="Times New Roman"/>
          <w:szCs w:val="24"/>
        </w:rPr>
        <w:t>До</w:t>
      </w:r>
      <w:r w:rsidR="00D475FE">
        <w:rPr>
          <w:rFonts w:cs="Times New Roman"/>
          <w:szCs w:val="24"/>
        </w:rPr>
        <w:t xml:space="preserve">ля расходов на основные услуги </w:t>
      </w:r>
      <w:r w:rsidR="00D475FE" w:rsidRPr="00B61272">
        <w:rPr>
          <w:rFonts w:cs="Times New Roman"/>
          <w:szCs w:val="24"/>
        </w:rPr>
        <w:t>в общей сумме государственных расходов</w:t>
      </w:r>
      <w:r w:rsidR="00D475FE">
        <w:rPr>
          <w:rFonts w:cs="Times New Roman"/>
          <w:szCs w:val="24"/>
        </w:rPr>
        <w:t>, на социальную защиту</w:t>
      </w:r>
      <w:r w:rsidR="00D475FE" w:rsidRPr="00B61272">
        <w:rPr>
          <w:rFonts w:cs="Times New Roman"/>
          <w:szCs w:val="24"/>
        </w:rPr>
        <w:t xml:space="preserve"> </w:t>
      </w:r>
      <w:r w:rsidRPr="00D475FE">
        <w:rPr>
          <w:rFonts w:eastAsia="Arial Unicode MS" w:cs="Times New Roman"/>
          <w:szCs w:val="24"/>
          <w:bdr w:val="nil"/>
          <w:lang w:eastAsia="ru-RU"/>
        </w:rPr>
        <w:t>[1.</w:t>
      </w:r>
      <w:r w:rsidRPr="00D10604">
        <w:rPr>
          <w:rFonts w:eastAsia="Arial Unicode MS" w:cs="Times New Roman"/>
          <w:szCs w:val="24"/>
          <w:bdr w:val="nil"/>
          <w:lang w:val="en-US" w:eastAsia="ru-RU"/>
        </w:rPr>
        <w:t>a</w:t>
      </w:r>
      <w:r w:rsidRPr="00D475FE">
        <w:rPr>
          <w:rFonts w:eastAsia="Arial Unicode MS" w:cs="Times New Roman"/>
          <w:szCs w:val="24"/>
          <w:bdr w:val="nil"/>
          <w:lang w:eastAsia="ru-RU"/>
        </w:rPr>
        <w:t>.2]</w:t>
      </w:r>
    </w:p>
    <w:p w:rsidR="00C8596F" w:rsidRPr="00BD29EC"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C8596F" w:rsidRDefault="00D10604"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Pr>
          <w:rFonts w:eastAsia="Arial Unicode MS" w:cs="Times New Roman"/>
          <w:szCs w:val="24"/>
          <w:bdr w:val="nil"/>
          <w:lang w:eastAsia="ru-RU"/>
        </w:rPr>
        <w:t>28.06.2024</w:t>
      </w:r>
      <w:r w:rsidR="00211C36" w:rsidRPr="00211C36">
        <w:rPr>
          <w:rFonts w:eastAsia="Arial Unicode MS" w:cs="Times New Roman"/>
          <w:szCs w:val="24"/>
          <w:bdr w:val="nil"/>
          <w:lang w:eastAsia="ru-RU"/>
        </w:rPr>
        <w:cr/>
      </w:r>
      <w:r w:rsidR="00C8596F" w:rsidRPr="00DA19D7">
        <w:rPr>
          <w:rFonts w:eastAsia="Arial Unicode MS" w:cs="Times New Roman"/>
          <w:b/>
          <w:szCs w:val="24"/>
          <w:bdr w:val="nil"/>
          <w:lang w:eastAsia="ru-RU"/>
        </w:rPr>
        <w:t>0.</w:t>
      </w:r>
      <w:r w:rsidR="00C8596F" w:rsidRPr="00BD29EC">
        <w:rPr>
          <w:rFonts w:eastAsia="Arial Unicode MS" w:cs="Times New Roman"/>
          <w:b/>
          <w:szCs w:val="24"/>
          <w:bdr w:val="nil"/>
          <w:lang w:val="en-US" w:eastAsia="ru-RU"/>
        </w:rPr>
        <w:t>f</w:t>
      </w:r>
      <w:r w:rsidR="00C8596F" w:rsidRPr="00DA19D7">
        <w:rPr>
          <w:rFonts w:eastAsia="Arial Unicode MS" w:cs="Times New Roman"/>
          <w:b/>
          <w:szCs w:val="24"/>
          <w:bdr w:val="nil"/>
          <w:lang w:eastAsia="ru-RU"/>
        </w:rPr>
        <w:t xml:space="preserve">. </w:t>
      </w:r>
      <w:r w:rsidR="00C8596F" w:rsidRPr="00BD29EC">
        <w:rPr>
          <w:rFonts w:eastAsia="Arial Unicode MS" w:cs="Times New Roman"/>
          <w:b/>
          <w:szCs w:val="24"/>
          <w:bdr w:val="nil"/>
          <w:lang w:eastAsia="ru-RU"/>
        </w:rPr>
        <w:t>Связанные</w:t>
      </w:r>
      <w:r w:rsidR="00C8596F" w:rsidRPr="00DA19D7">
        <w:rPr>
          <w:rFonts w:eastAsia="Arial Unicode MS" w:cs="Times New Roman"/>
          <w:b/>
          <w:szCs w:val="24"/>
          <w:bdr w:val="nil"/>
          <w:lang w:eastAsia="ru-RU"/>
        </w:rPr>
        <w:t xml:space="preserve"> </w:t>
      </w:r>
      <w:r w:rsidR="00C8596F" w:rsidRPr="00BD29EC">
        <w:rPr>
          <w:rFonts w:eastAsia="Arial Unicode MS" w:cs="Times New Roman"/>
          <w:b/>
          <w:szCs w:val="24"/>
          <w:bdr w:val="nil"/>
          <w:lang w:eastAsia="ru-RU"/>
        </w:rPr>
        <w:t>показатели</w:t>
      </w:r>
      <w:r w:rsidR="00C8596F" w:rsidRPr="00DA19D7">
        <w:rPr>
          <w:rFonts w:eastAsia="Arial Unicode MS" w:cs="Times New Roman"/>
          <w:b/>
          <w:szCs w:val="24"/>
          <w:bdr w:val="nil"/>
          <w:lang w:eastAsia="ru-RU"/>
        </w:rPr>
        <w:t xml:space="preserve"> </w:t>
      </w:r>
    </w:p>
    <w:p w:rsidR="00211C36" w:rsidRPr="00DA19D7" w:rsidRDefault="00211C36" w:rsidP="00342355">
      <w:pPr>
        <w:spacing w:after="0"/>
        <w:rPr>
          <w:bdr w:val="nil"/>
          <w:lang w:eastAsia="ru-RU"/>
        </w:rPr>
      </w:pPr>
      <w:r w:rsidRPr="00211C36">
        <w:rPr>
          <w:bdr w:val="nil"/>
          <w:lang w:eastAsia="ru-RU"/>
        </w:rPr>
        <w:t>4.a.1, 4.b.1</w:t>
      </w:r>
    </w:p>
    <w:p w:rsidR="00A91FDE" w:rsidRPr="00BD29EC" w:rsidRDefault="00E33CA8" w:rsidP="0075371E">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957A62" w:rsidRPr="00BD29EC" w:rsidRDefault="00342355" w:rsidP="004B1138">
      <w:r>
        <w:rPr>
          <w:rStyle w:val="ezkurwreuab5ozgtqnkl"/>
        </w:rPr>
        <w:t>Департамент</w:t>
      </w:r>
      <w:r>
        <w:t xml:space="preserve"> </w:t>
      </w:r>
      <w:r>
        <w:rPr>
          <w:rStyle w:val="ezkurwreuab5ozgtqnkl"/>
        </w:rPr>
        <w:t>статистики</w:t>
      </w:r>
      <w:r>
        <w:t xml:space="preserve"> </w:t>
      </w:r>
      <w:r>
        <w:rPr>
          <w:rStyle w:val="ezkurwreuab5ozgtqnkl"/>
        </w:rPr>
        <w:t>Международного</w:t>
      </w:r>
      <w:r>
        <w:t xml:space="preserve"> </w:t>
      </w:r>
      <w:r>
        <w:rPr>
          <w:rStyle w:val="ezkurwreuab5ozgtqnkl"/>
        </w:rPr>
        <w:t>валютного</w:t>
      </w:r>
      <w:r>
        <w:t xml:space="preserve"> </w:t>
      </w:r>
      <w:r>
        <w:rPr>
          <w:rStyle w:val="ezkurwreuab5ozgtqnkl"/>
        </w:rPr>
        <w:t>фонда</w:t>
      </w:r>
      <w:r>
        <w:t xml:space="preserve"> </w:t>
      </w:r>
      <w:r>
        <w:rPr>
          <w:rStyle w:val="ezkurwreuab5ozgtqnkl"/>
        </w:rPr>
        <w:t>(МВФ)</w:t>
      </w:r>
      <w:r>
        <w:t xml:space="preserve"> </w:t>
      </w:r>
      <w:r>
        <w:rPr>
          <w:rStyle w:val="ezkurwreuab5ozgtqnkl"/>
        </w:rPr>
        <w:t>(Отдел</w:t>
      </w:r>
      <w:r>
        <w:t xml:space="preserve"> </w:t>
      </w:r>
      <w:r>
        <w:rPr>
          <w:rStyle w:val="ezkurwreuab5ozgtqnkl"/>
        </w:rPr>
        <w:t>государственных</w:t>
      </w:r>
      <w:r>
        <w:t xml:space="preserve"> </w:t>
      </w:r>
      <w:r>
        <w:rPr>
          <w:rStyle w:val="ezkurwreuab5ozgtqnkl"/>
        </w:rPr>
        <w:t>финансов)</w:t>
      </w:r>
    </w:p>
    <w:p w:rsidR="00957A62" w:rsidRPr="00BD29EC" w:rsidRDefault="00957A62" w:rsidP="0075371E">
      <w:pPr>
        <w:pStyle w:val="MHeader"/>
        <w:rPr>
          <w:b/>
          <w:color w:val="auto"/>
          <w:sz w:val="24"/>
          <w:szCs w:val="24"/>
          <w:lang w:val="ru-RU"/>
        </w:rPr>
      </w:pPr>
      <w:bookmarkStart w:id="0" w:name="_Toc37932744"/>
      <w:bookmarkStart w:id="1" w:name="_Toc36813072"/>
      <w:bookmarkStart w:id="2" w:name="_Toc36812685"/>
      <w:bookmarkStart w:id="3" w:name="_Toc36812572"/>
      <w:bookmarkStart w:id="4" w:name="_Toc36655609"/>
      <w:r w:rsidRPr="00BD29EC">
        <w:rPr>
          <w:b/>
          <w:color w:val="auto"/>
          <w:sz w:val="24"/>
          <w:szCs w:val="24"/>
          <w:lang w:val="ru-RU"/>
        </w:rPr>
        <w:t xml:space="preserve">1. </w:t>
      </w:r>
      <w:bookmarkEnd w:id="0"/>
      <w:bookmarkEnd w:id="1"/>
      <w:bookmarkEnd w:id="2"/>
      <w:bookmarkEnd w:id="3"/>
      <w:bookmarkEnd w:id="4"/>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957A62" w:rsidRPr="00BD29EC" w:rsidRDefault="00936FD2" w:rsidP="004B1138">
      <w:r w:rsidRPr="00936FD2">
        <w:t>Департамент статистики Международного валютного фонда (МВФ)</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936FD2" w:rsidRPr="00936FD2" w:rsidTr="0003678C">
        <w:tc>
          <w:tcPr>
            <w:tcW w:w="9356" w:type="dxa"/>
            <w:tcBorders>
              <w:top w:val="double" w:sz="4" w:space="0" w:color="auto"/>
              <w:left w:val="double" w:sz="4" w:space="0" w:color="auto"/>
              <w:bottom w:val="double" w:sz="4" w:space="0" w:color="auto"/>
              <w:right w:val="double" w:sz="4" w:space="0" w:color="auto"/>
            </w:tcBorders>
            <w:hideMark/>
          </w:tcPr>
          <w:p w:rsidR="00936FD2" w:rsidRPr="00936FD2" w:rsidRDefault="00936FD2" w:rsidP="00936FD2">
            <w:pPr>
              <w:pStyle w:val="MText"/>
              <w:rPr>
                <w:rStyle w:val="af4"/>
                <w:b w:val="0"/>
                <w:bCs w:val="0"/>
                <w:color w:val="000000" w:themeColor="text1"/>
                <w:sz w:val="24"/>
                <w:szCs w:val="24"/>
                <w:lang w:val="ru-RU"/>
              </w:rPr>
            </w:pPr>
            <w:r w:rsidRPr="00936FD2">
              <w:rPr>
                <w:rStyle w:val="af4"/>
                <w:b w:val="0"/>
                <w:color w:val="000000" w:themeColor="text1"/>
                <w:sz w:val="24"/>
                <w:szCs w:val="24"/>
                <w:lang w:val="ru-RU"/>
              </w:rPr>
              <w:t xml:space="preserve">В соответствии с решением </w:t>
            </w:r>
            <w:proofErr w:type="spellStart"/>
            <w:r w:rsidRPr="00936FD2">
              <w:rPr>
                <w:rStyle w:val="af4"/>
                <w:b w:val="0"/>
                <w:color w:val="000000" w:themeColor="text1"/>
                <w:sz w:val="24"/>
                <w:szCs w:val="24"/>
                <w:lang w:val="ru-RU"/>
              </w:rPr>
              <w:t>Межучрежденческой</w:t>
            </w:r>
            <w:proofErr w:type="spellEnd"/>
            <w:r w:rsidRPr="00936FD2">
              <w:rPr>
                <w:rStyle w:val="af4"/>
                <w:b w:val="0"/>
                <w:color w:val="000000" w:themeColor="text1"/>
                <w:sz w:val="24"/>
                <w:szCs w:val="24"/>
                <w:lang w:val="ru-RU"/>
              </w:rPr>
              <w:t xml:space="preserve"> группы экспертов по показателям достижения ЦУР (МЭГ ЦУР), данные </w:t>
            </w:r>
            <w:r w:rsidRPr="00DD6819">
              <w:rPr>
                <w:rStyle w:val="af4"/>
                <w:color w:val="000000" w:themeColor="text1"/>
                <w:sz w:val="24"/>
                <w:szCs w:val="24"/>
                <w:lang w:val="ru-RU"/>
              </w:rPr>
              <w:t>только по образовательному компоненту</w:t>
            </w:r>
            <w:r w:rsidRPr="00936FD2">
              <w:rPr>
                <w:rStyle w:val="af4"/>
                <w:b w:val="0"/>
                <w:color w:val="000000" w:themeColor="text1"/>
                <w:sz w:val="24"/>
                <w:szCs w:val="24"/>
                <w:lang w:val="ru-RU"/>
              </w:rPr>
              <w:t xml:space="preserve"> показателя 1.a.2 предоставляются двумя учреждениями-кураторами (МВФ и ЮНЕСКО-ИСЮ) для обеспечения максимального охвата стран. Таким образом, глобальная база данных по показателям ЦУР включает в себя два отдельных ряда данных для компонента образования, предоставляемых этими разными поставщиками данных </w:t>
            </w:r>
            <w:r w:rsidRPr="00936FD2">
              <w:rPr>
                <w:rStyle w:val="af4"/>
                <w:b w:val="0"/>
                <w:color w:val="000000" w:themeColor="text1"/>
                <w:sz w:val="24"/>
                <w:szCs w:val="24"/>
                <w:lang w:val="ru-RU"/>
              </w:rPr>
              <w:lastRenderedPageBreak/>
              <w:t>(соучредителями). Каждый поставщик использует уникальные методы сбора и расчета данных. Следовательно, при сравнении наборов данных могут возникнуть расхождения: SG_XPD_EDUC (предоставлен МВФ как часть набора, содержащего все компоненты показателя 1.a.2 и итоговый показатель) и SD</w:t>
            </w:r>
            <w:r w:rsidR="001D120F">
              <w:rPr>
                <w:rStyle w:val="af4"/>
                <w:b w:val="0"/>
                <w:color w:val="000000" w:themeColor="text1"/>
                <w:sz w:val="24"/>
                <w:szCs w:val="24"/>
                <w:lang w:val="ru-RU"/>
              </w:rPr>
              <w:t>_XPD_ESED (предоставлен ЮНЕСКО-</w:t>
            </w:r>
            <w:r w:rsidRPr="00936FD2">
              <w:rPr>
                <w:rStyle w:val="af4"/>
                <w:b w:val="0"/>
                <w:color w:val="000000" w:themeColor="text1"/>
                <w:sz w:val="24"/>
                <w:szCs w:val="24"/>
                <w:lang w:val="ru-RU"/>
              </w:rPr>
              <w:t>И</w:t>
            </w:r>
            <w:r w:rsidR="001D120F">
              <w:rPr>
                <w:rStyle w:val="af4"/>
                <w:b w:val="0"/>
                <w:color w:val="000000" w:themeColor="text1"/>
                <w:sz w:val="24"/>
                <w:szCs w:val="24"/>
                <w:lang w:val="ru-RU"/>
              </w:rPr>
              <w:t>С</w:t>
            </w:r>
            <w:r w:rsidRPr="00936FD2">
              <w:rPr>
                <w:rStyle w:val="af4"/>
                <w:b w:val="0"/>
                <w:color w:val="000000" w:themeColor="text1"/>
                <w:sz w:val="24"/>
                <w:szCs w:val="24"/>
                <w:lang w:val="ru-RU"/>
              </w:rPr>
              <w:t>Ю только для компонента образования). Чтобы получить представление о методологиях, используемых каждым поставщиком, пожалуйста, ознакомьтесь с дополнительным файлом метаданных, связанным с показателем 1.a.2.</w:t>
            </w:r>
          </w:p>
        </w:tc>
      </w:tr>
    </w:tbl>
    <w:p w:rsidR="00936FD2" w:rsidRPr="00936FD2" w:rsidRDefault="00936FD2" w:rsidP="004B1138">
      <w:pPr>
        <w:rPr>
          <w:b/>
        </w:rPr>
      </w:pPr>
    </w:p>
    <w:p w:rsidR="004B1138" w:rsidRPr="004B1138" w:rsidRDefault="004B1138" w:rsidP="004B1138">
      <w:pPr>
        <w:rPr>
          <w:b/>
        </w:rPr>
      </w:pPr>
      <w:r w:rsidRPr="004B1138">
        <w:rPr>
          <w:b/>
        </w:rPr>
        <w:t>Определение:</w:t>
      </w:r>
    </w:p>
    <w:p w:rsidR="0003678C" w:rsidRPr="0003678C" w:rsidRDefault="0003678C" w:rsidP="004B1138">
      <w:r w:rsidRPr="0003678C">
        <w:t>Расходы определяются в главе 4 (пункты 4.24 и 6.1) Руководства по статистике государственных финансов за 2014 год (GFSM 2014) как уменьшение чистого капитала в результате операции. Это финансовый показатель для оценки устойчивости финансовой деятельности. В GSM за 2014 год расходы представлены в соответствии с экономической классификацией (пункты 6.8-6.11) и в качестве функций правительства (пункты 6.126-6.132). Подразделения органов государственного управления имеют десять различных видов расходов в соответствии с функциями правительства. Среди них расходы на здравоохранение (код 707), образование (код 709) и социальную защиту (код 710).</w:t>
      </w:r>
    </w:p>
    <w:p w:rsidR="004B1138" w:rsidRPr="004B1138" w:rsidRDefault="004B1138" w:rsidP="004B1138">
      <w:pPr>
        <w:rPr>
          <w:b/>
        </w:rPr>
      </w:pPr>
      <w:r w:rsidRPr="004B1138">
        <w:rPr>
          <w:b/>
        </w:rPr>
        <w:t>Понятия:</w:t>
      </w:r>
    </w:p>
    <w:p w:rsidR="0003678C" w:rsidRDefault="0003678C" w:rsidP="0003678C">
      <w:r>
        <w:t>Ключевые понятия и термины, связанные с этим показателем, изложены в Руководстве по статистике государственных финансов (GFSM) 2014 года, а также соответствующие классификации. Как указано в пункте 6.126, классификация функций правительства (COFOG) представляет собой подробную классификацию функций или социально-экономических целей, которые органы государственного управления стремятся достичь с помощью различных видов расходов. Хотя COFOG, используемый в GFSM 2014, полностью соответствует классификации Организации экономического сотрудничества и развития (ОЭСР)/ООН, в статистике государственных финансов (</w:t>
      </w:r>
      <w:proofErr w:type="gramStart"/>
      <w:r>
        <w:t xml:space="preserve">GFS) </w:t>
      </w:r>
      <w:proofErr w:type="gramEnd"/>
      <w:r>
        <w:t>эта концепция применяется несколько иначе. ОЭСР/ООН называет конечные затраты в общем смысле и, следовательно, включает гранты, займы и/или субсидии. В GFS COFOG применяется только к расходам, включая расходы и чистые инвестиции в нефинансовые активы. Операции с финансовыми активами и обязательствами, такими как займы, исключаются при составлении данных COFOG для целей отчетности GFS.</w:t>
      </w:r>
    </w:p>
    <w:p w:rsidR="0003678C" w:rsidRDefault="0003678C" w:rsidP="0003678C">
      <w:r>
        <w:t xml:space="preserve">Государственные расходы на здравоохранение включают расходы на услуги, предоставляемые отдельным лицам, и услуги, предоставляемые на коллективной основе. Службы коллективного здравоохранения занимаются такими вопросами, как разработка и осуществление государственной политики; установление и обеспечение соблюдения стандартов для медицинского и </w:t>
      </w:r>
      <w:proofErr w:type="spellStart"/>
      <w:r>
        <w:t>парамедицинского</w:t>
      </w:r>
      <w:proofErr w:type="spellEnd"/>
      <w:r>
        <w:t xml:space="preserve"> персонала, а также для больниц, клиник, хирургических отделений и т.д.; регулирование и лицензирование поставщиков медицинских услуг; а также прикладные исследования и экспериментальные разработки в области медицины и связанных со здоровьем вопросов. Однако накладные расходы, связанные с управлением или функционированием группы больниц, клиник, хирургических кабинетов и т.д., считаются индивидуальными расходами.</w:t>
      </w:r>
    </w:p>
    <w:p w:rsidR="0003678C" w:rsidRDefault="0003678C" w:rsidP="0003678C">
      <w:r>
        <w:lastRenderedPageBreak/>
        <w:t>Государственные расходы на образование включают расходы на услуги, предоставляемые отдельным учащимся и студентам, и расходы на услуги, предоставляемые на коллективной основе. Коллективные образовательные услуги связаны с такими вопросами, как разработка и осуществление государственной политики; установление и обеспечение соблюдения стандартов; регулирование, лицензирование и надзор за учебными заведениями; а также прикладные исследования и экспериментальные разработки в области образования и услуг. Однако накладные расходы, связанные с управлением или функционированием группы школ, колледжей и т.д. считается индивидуальными расходами.</w:t>
      </w:r>
    </w:p>
    <w:p w:rsidR="004B1138" w:rsidRPr="00DA19D7" w:rsidRDefault="0003678C" w:rsidP="0003678C">
      <w:r>
        <w:t>Государственные расходы на социальную защиту включают расходы на услуги и трансферты, предоставляемые отдельным лицам и домашним хозяйствам, а также расходы на услуги, предоставляемые на коллективной основе. Службы коллективной социальной защиты занимаются такими вопросами, как разработка и осуществление государственной политики; разработка и обеспечение соблюдения законодательства и стандартов для обеспечения социальной защиты; а также прикладными исследованиями и экспериментальными разработками в области вопросов и услуг социальной защиты. Расходы на отдельные услуги и трансферты распределяются в связи с болезнью и инвалидностью, старостью, потерей кормильца, семьей и детьми, безработицей, жильем и социальной изоляцией.</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D448FB" w:rsidP="00D448FB">
      <w:r w:rsidRPr="00D448FB">
        <w:t>Процент</w:t>
      </w:r>
      <w:proofErr w:type="gramStart"/>
      <w:r w:rsidR="00A21ACA">
        <w:t xml:space="preserve"> (%)</w:t>
      </w:r>
      <w:r w:rsidRPr="00D448FB">
        <w:t xml:space="preserve">. </w:t>
      </w:r>
      <w:proofErr w:type="gramEnd"/>
      <w:r w:rsidRPr="00D448FB">
        <w:t>Этот показатель представляет собой общие государственные расходы на образование, выраженные в процентах от общих государственных расходов во всех секторах.</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0A229E" w:rsidRPr="001D4928" w:rsidRDefault="00A21ACA" w:rsidP="0075371E">
      <w:pPr>
        <w:pStyle w:val="MText"/>
        <w:rPr>
          <w:color w:val="auto"/>
          <w:sz w:val="24"/>
          <w:szCs w:val="24"/>
          <w:lang w:val="ru-RU"/>
        </w:rPr>
      </w:pPr>
      <w:r>
        <w:rPr>
          <w:color w:val="auto"/>
          <w:sz w:val="24"/>
          <w:szCs w:val="24"/>
          <w:lang w:val="ru-RU"/>
        </w:rPr>
        <w:t>См. раздел 2</w:t>
      </w:r>
      <w:r w:rsidRPr="001D4928">
        <w:rPr>
          <w:color w:val="auto"/>
          <w:sz w:val="24"/>
          <w:szCs w:val="24"/>
          <w:lang w:val="ru-RU"/>
        </w:rPr>
        <w:t>.</w:t>
      </w:r>
      <w:r>
        <w:rPr>
          <w:color w:val="auto"/>
          <w:sz w:val="24"/>
          <w:szCs w:val="24"/>
          <w:lang w:val="en-US"/>
        </w:rPr>
        <w:t>a</w:t>
      </w:r>
      <w:r w:rsidRPr="001D4928">
        <w:rPr>
          <w:color w:val="auto"/>
          <w:sz w:val="24"/>
          <w:szCs w:val="24"/>
          <w:lang w:val="ru-RU"/>
        </w:rPr>
        <w:t>.</w:t>
      </w:r>
    </w:p>
    <w:p w:rsidR="00A21ACA" w:rsidRPr="001D4928" w:rsidRDefault="00A21ACA" w:rsidP="0075371E">
      <w:pPr>
        <w:pStyle w:val="MText"/>
        <w:rPr>
          <w:color w:val="auto"/>
          <w:sz w:val="24"/>
          <w:szCs w:val="24"/>
          <w:lang w:val="ru-RU"/>
        </w:rPr>
      </w:pPr>
    </w:p>
    <w:p w:rsidR="000A229E" w:rsidRPr="00BD29EC" w:rsidRDefault="000A229E" w:rsidP="0075371E">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D448FB" w:rsidRPr="00A21ACA" w:rsidRDefault="00A21ACA" w:rsidP="00D448FB">
      <w:r w:rsidRPr="00A21ACA">
        <w:t xml:space="preserve">Текущими и рекомендуемыми источниками данных для расчета этого показателя являются финансовые статистические данные, предоставляемые в Департамент статистики МВФ. Они поступают от различных ведомств (Министерств финансов, центральных банков, национальных статистических управлений и т.д.) и составляются в соответствии со стандартизированным методом сбора данных: ежегодным вопросником СГФ. Несмотря на некоторые различия между странами, эти данные в годовой базе данных СГФ МВФ основаны на </w:t>
      </w:r>
      <w:r w:rsidRPr="00A21ACA">
        <w:rPr>
          <w:lang w:val="en-US"/>
        </w:rPr>
        <w:t>COFOG</w:t>
      </w:r>
      <w:r w:rsidRPr="00A21ACA">
        <w:t xml:space="preserve">, принятой в РСГФ 2014 года, которые обеспечивают прочную общую основу для </w:t>
      </w:r>
      <w:proofErr w:type="spellStart"/>
      <w:r w:rsidRPr="00A21ACA">
        <w:t>межстрановых</w:t>
      </w:r>
      <w:proofErr w:type="spellEnd"/>
      <w:r w:rsidRPr="00A21ACA">
        <w:t xml:space="preserve"> сравнений и региональных и глобальных агрегаций. Кроме того, все данные являются официальными данными, представленными странами, и оценки персонала не изменялись. Проверка достоверности персонала в ходе обработки данных еще больше повысила качество данных. Данные собираются ежегодно примерно по 70-80 странам с общим правительственным охватом с использованием набора данных </w:t>
      </w:r>
      <w:r w:rsidRPr="00A21ACA">
        <w:rPr>
          <w:lang w:val="en-US"/>
        </w:rPr>
        <w:t>COFOG</w:t>
      </w:r>
      <w:r w:rsidRPr="00A21ACA">
        <w:t xml:space="preserve"> МВФ.</w:t>
      </w:r>
    </w:p>
    <w:p w:rsidR="000A229E" w:rsidRDefault="000A229E" w:rsidP="00D448FB">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6477DD" w:rsidRPr="001D4928" w:rsidRDefault="00A21ACA" w:rsidP="006477DD">
      <w:r>
        <w:t>См. раздел 3</w:t>
      </w:r>
      <w:r w:rsidRPr="001D4928">
        <w:t>.</w:t>
      </w:r>
      <w:r>
        <w:rPr>
          <w:lang w:val="en-US"/>
        </w:rPr>
        <w:t>a</w:t>
      </w:r>
      <w:r w:rsidRPr="001D4928">
        <w:t>.</w:t>
      </w:r>
    </w:p>
    <w:p w:rsidR="000A229E" w:rsidRDefault="000A229E" w:rsidP="006477DD">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6477DD" w:rsidRPr="00A21ACA" w:rsidRDefault="00A21ACA" w:rsidP="006477DD">
      <w:r w:rsidRPr="00A21ACA">
        <w:t>Цикл сбора данных обычно длится с сентября по декабрь следующего года, начиная с базисного (</w:t>
      </w:r>
      <w:r w:rsidRPr="00A21ACA">
        <w:rPr>
          <w:lang w:val="en-US"/>
        </w:rPr>
        <w:t>T</w:t>
      </w:r>
      <w:r w:rsidRPr="00A21ACA">
        <w:t>+9-12 месяцев). Департамент статистики МВФ обычно завершает цикл ежегодного сбора данных по СГФ в феврале следующего года.</w:t>
      </w:r>
    </w:p>
    <w:p w:rsidR="000A229E" w:rsidRDefault="000A229E" w:rsidP="006477DD">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FC3255" w:rsidRPr="00A21ACA" w:rsidRDefault="00A21ACA" w:rsidP="00FC3255">
      <w:r w:rsidRPr="00A21ACA">
        <w:t>Данные по странам распространяются по мере их обработки после сбора данных. Сводные таблицы по всему миру и другие показатели, включая 1.</w:t>
      </w:r>
      <w:r w:rsidRPr="00A21ACA">
        <w:rPr>
          <w:lang w:val="en-US"/>
        </w:rPr>
        <w:t>a</w:t>
      </w:r>
      <w:r w:rsidRPr="00A21ACA">
        <w:t>.2, планируется опубликовать в начале второго года после отчетного. Для большинства стран самыми свежими данными будут за базовый год, включая пять или более последних лет.</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FC3255" w:rsidRPr="00A21ACA" w:rsidRDefault="00A21ACA" w:rsidP="00FC3255">
      <w:r>
        <w:t>См. раздел 3</w:t>
      </w:r>
      <w:r w:rsidRPr="00A21ACA">
        <w:t>.</w:t>
      </w:r>
      <w:r>
        <w:rPr>
          <w:lang w:val="en-US"/>
        </w:rPr>
        <w:t>a</w:t>
      </w:r>
      <w:r w:rsidRPr="00A21ACA">
        <w:t>.</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F6024E" w:rsidRPr="00A21ACA" w:rsidRDefault="00A21ACA" w:rsidP="00F6024E">
      <w:r w:rsidRPr="00A21ACA">
        <w:t>Статистический департамент МВФ является организацией, ответственной за составление и отчетность по этому показателю на глобальном уровне.</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980F79" w:rsidRPr="00A21ACA" w:rsidRDefault="00A21ACA" w:rsidP="009B173D">
      <w:r>
        <w:t>МВФ: с</w:t>
      </w:r>
      <w:r w:rsidRPr="00A21ACA">
        <w:t>м. раздел 3.a.</w:t>
      </w:r>
    </w:p>
    <w:p w:rsidR="002E15F9" w:rsidRPr="000F2F5C" w:rsidRDefault="002E15F9" w:rsidP="000F2F5C">
      <w:pPr>
        <w:pStyle w:val="MHeader2"/>
        <w:rPr>
          <w:b/>
          <w:color w:val="auto"/>
          <w:sz w:val="24"/>
          <w:szCs w:val="24"/>
          <w:lang w:val="ru-RU"/>
        </w:rPr>
      </w:pPr>
      <w:r w:rsidRPr="000F2F5C">
        <w:rPr>
          <w:b/>
          <w:color w:val="auto"/>
          <w:sz w:val="24"/>
          <w:szCs w:val="24"/>
          <w:lang w:val="ru-RU"/>
        </w:rPr>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111F93" w:rsidRDefault="00C2748A" w:rsidP="00880AF9">
      <w:r w:rsidRPr="00C2748A">
        <w:t>Этот показатель используется для оценки государственных расходов на основные услуги (образование, здравоохранение и социальную защиту) по отношению к общему объему государственных расходов. Поскольку он основан на международной системе GFSM 2014, он предоставляет аналитикам сопоставимый набор данных по странам и обеспечивает получение надежных аналитических выводов для поддержки мониторинга ЦУР с использованием финансовых данных.</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C4254E" w:rsidRDefault="00C4254E" w:rsidP="00C4254E">
      <w:r>
        <w:t xml:space="preserve">Высокая доля государственных расходов на основные услуги (образование, здравоохранение и социальную защиту) свидетельствует о высоком приоритете правительства в этих сферах расходов. В настоящее время МВФ рекомендует не составлять сводные данные по региональным и глобальным показателям. Хотя мы не видим проблем с точки зрения осуществимости и пригодности показателя 1.a.2 для </w:t>
      </w:r>
      <w:proofErr w:type="spellStart"/>
      <w:r>
        <w:t>межстрановых</w:t>
      </w:r>
      <w:proofErr w:type="spellEnd"/>
      <w:r>
        <w:t xml:space="preserve"> сравнений, мы обращаем внимание на актуальность одного глобального показателя, который объединяет данные по странам с развитой экономикой, странам с формирующимся рынком и странам с низким уровнем дохода.</w:t>
      </w:r>
    </w:p>
    <w:p w:rsidR="007A6D6F" w:rsidRDefault="00C4254E" w:rsidP="00C4254E">
      <w:r>
        <w:lastRenderedPageBreak/>
        <w:t xml:space="preserve">Для составления отчета по этому показателю наиболее подходящим уровнем институционального охвата считается общее государственное управление, поскольку оно будет охватывать соответствующие государственные подразделения, включая местные органы власти, поскольку во многих странах следует рассмотреть возможность децентрализации расходов по этим категориям. </w:t>
      </w:r>
      <w:proofErr w:type="spellStart"/>
      <w:r>
        <w:t>Страновой</w:t>
      </w:r>
      <w:proofErr w:type="spellEnd"/>
      <w:r>
        <w:t xml:space="preserve"> охват расширяется за счет использования данных центрального правительства (CG) или центрального бюджетного управления (BA), поскольку для большинства развивающихся стран и многих стран с формирующимся рынком сбор данных для консолидированного государственного управления и его подсекторов ограничен из-за ограничений в доступности и/или своевременности исходных данных. Эти различные институциональные области (CG, BA) указаны в примечаниях к данным. Если сноска не включена, данные относятся к органам государственного управления. В стране может быть одно центральное правительство, несколько правительств штатов, провинций или регионов</w:t>
      </w:r>
      <w:proofErr w:type="gramStart"/>
      <w:r>
        <w:t xml:space="preserve">.; </w:t>
      </w:r>
      <w:proofErr w:type="gramEnd"/>
      <w:r>
        <w:t>и многие местные органы власти, и в GFSM 2014 рекомендуется собирать статистические данные по всем таким подразделениям органов государственного управления. Эта структура отчетности проиллюстрирована ниже:</w:t>
      </w:r>
    </w:p>
    <w:tbl>
      <w:tblPr>
        <w:tblW w:w="9527" w:type="dxa"/>
        <w:tblLayout w:type="fixed"/>
        <w:tblCellMar>
          <w:left w:w="29" w:type="dxa"/>
          <w:right w:w="29" w:type="dxa"/>
        </w:tblCellMar>
        <w:tblLook w:val="04A0" w:firstRow="1" w:lastRow="0" w:firstColumn="1" w:lastColumn="0" w:noHBand="0" w:noVBand="1"/>
      </w:tblPr>
      <w:tblGrid>
        <w:gridCol w:w="976"/>
        <w:gridCol w:w="46"/>
        <w:gridCol w:w="992"/>
        <w:gridCol w:w="636"/>
        <w:gridCol w:w="73"/>
        <w:gridCol w:w="1134"/>
        <w:gridCol w:w="1007"/>
        <w:gridCol w:w="898"/>
        <w:gridCol w:w="898"/>
        <w:gridCol w:w="932"/>
        <w:gridCol w:w="837"/>
        <w:gridCol w:w="1098"/>
      </w:tblGrid>
      <w:tr w:rsidR="00C4254E" w:rsidRPr="00CF6751" w:rsidTr="00CF6751">
        <w:trPr>
          <w:trHeight w:val="540"/>
        </w:trPr>
        <w:tc>
          <w:tcPr>
            <w:tcW w:w="976" w:type="dxa"/>
            <w:tcBorders>
              <w:top w:val="single" w:sz="4" w:space="0" w:color="auto"/>
              <w:left w:val="single" w:sz="4" w:space="0" w:color="auto"/>
              <w:bottom w:val="single" w:sz="4" w:space="0" w:color="auto"/>
              <w:right w:val="nil"/>
            </w:tcBorders>
            <w:noWrap/>
            <w:vAlign w:val="center"/>
            <w:hideMark/>
          </w:tcPr>
          <w:p w:rsidR="00C4254E" w:rsidRPr="00C4254E" w:rsidRDefault="00C4254E" w:rsidP="00C4254E">
            <w:pPr>
              <w:rPr>
                <w:sz w:val="16"/>
                <w:szCs w:val="20"/>
                <w:lang w:val="en-US"/>
              </w:rPr>
            </w:pPr>
            <w:r w:rsidRPr="00C4254E">
              <w:rPr>
                <w:sz w:val="16"/>
                <w:szCs w:val="20"/>
                <w:lang w:val="en-US"/>
              </w:rPr>
              <w:t> </w:t>
            </w:r>
          </w:p>
        </w:tc>
        <w:tc>
          <w:tcPr>
            <w:tcW w:w="1674" w:type="dxa"/>
            <w:gridSpan w:val="3"/>
            <w:tcBorders>
              <w:top w:val="single" w:sz="4" w:space="0" w:color="auto"/>
              <w:left w:val="single" w:sz="4" w:space="0" w:color="D0CECE"/>
              <w:bottom w:val="single" w:sz="4" w:space="0" w:color="auto"/>
              <w:right w:val="nil"/>
            </w:tcBorders>
            <w:noWrap/>
            <w:vAlign w:val="center"/>
            <w:hideMark/>
          </w:tcPr>
          <w:p w:rsidR="00C4254E" w:rsidRPr="00C4254E" w:rsidRDefault="00C4254E" w:rsidP="00C4254E">
            <w:pPr>
              <w:rPr>
                <w:sz w:val="16"/>
                <w:szCs w:val="20"/>
                <w:lang w:val="en-US"/>
              </w:rPr>
            </w:pPr>
            <w:r w:rsidRPr="00C4254E">
              <w:rPr>
                <w:sz w:val="16"/>
                <w:szCs w:val="20"/>
                <w:lang w:val="en-US"/>
              </w:rPr>
              <w:t> </w:t>
            </w:r>
          </w:p>
        </w:tc>
        <w:tc>
          <w:tcPr>
            <w:tcW w:w="1207" w:type="dxa"/>
            <w:gridSpan w:val="2"/>
            <w:tcBorders>
              <w:top w:val="single" w:sz="4" w:space="0" w:color="auto"/>
              <w:left w:val="single" w:sz="4" w:space="0" w:color="D0CECE"/>
              <w:bottom w:val="single" w:sz="4" w:space="0" w:color="auto"/>
              <w:right w:val="nil"/>
            </w:tcBorders>
            <w:noWrap/>
            <w:vAlign w:val="center"/>
            <w:hideMark/>
          </w:tcPr>
          <w:p w:rsidR="00C4254E" w:rsidRPr="00CF6751" w:rsidRDefault="00CF6751" w:rsidP="00CF6751">
            <w:pPr>
              <w:rPr>
                <w:sz w:val="16"/>
                <w:szCs w:val="20"/>
              </w:rPr>
            </w:pPr>
            <w:r>
              <w:rPr>
                <w:sz w:val="16"/>
                <w:szCs w:val="20"/>
              </w:rPr>
              <w:t xml:space="preserve">Органы </w:t>
            </w:r>
            <w:proofErr w:type="spellStart"/>
            <w:proofErr w:type="gramStart"/>
            <w:r>
              <w:rPr>
                <w:sz w:val="16"/>
                <w:szCs w:val="20"/>
              </w:rPr>
              <w:t>государ-ственного</w:t>
            </w:r>
            <w:proofErr w:type="spellEnd"/>
            <w:proofErr w:type="gramEnd"/>
            <w:r>
              <w:rPr>
                <w:sz w:val="16"/>
                <w:szCs w:val="20"/>
              </w:rPr>
              <w:t xml:space="preserve"> управления</w:t>
            </w:r>
          </w:p>
        </w:tc>
        <w:tc>
          <w:tcPr>
            <w:tcW w:w="1007" w:type="dxa"/>
            <w:tcBorders>
              <w:top w:val="single" w:sz="4" w:space="0" w:color="auto"/>
              <w:left w:val="single" w:sz="4" w:space="0" w:color="D0CECE"/>
              <w:bottom w:val="single" w:sz="4" w:space="0" w:color="auto"/>
              <w:right w:val="single" w:sz="4" w:space="0" w:color="D0CECE"/>
            </w:tcBorders>
            <w:noWrap/>
            <w:vAlign w:val="center"/>
            <w:hideMark/>
          </w:tcPr>
          <w:p w:rsidR="00C4254E" w:rsidRPr="00C4254E" w:rsidRDefault="00C4254E" w:rsidP="00C4254E">
            <w:pPr>
              <w:rPr>
                <w:sz w:val="16"/>
                <w:szCs w:val="20"/>
                <w:lang w:val="en-US"/>
              </w:rPr>
            </w:pPr>
            <w:r w:rsidRPr="00C4254E">
              <w:rPr>
                <w:sz w:val="16"/>
                <w:szCs w:val="20"/>
                <w:lang w:val="en-US"/>
              </w:rPr>
              <w:t> </w:t>
            </w:r>
          </w:p>
        </w:tc>
        <w:tc>
          <w:tcPr>
            <w:tcW w:w="898" w:type="dxa"/>
            <w:tcBorders>
              <w:top w:val="single" w:sz="4" w:space="0" w:color="auto"/>
              <w:left w:val="nil"/>
              <w:bottom w:val="single" w:sz="4" w:space="0" w:color="auto"/>
              <w:right w:val="nil"/>
            </w:tcBorders>
            <w:noWrap/>
            <w:vAlign w:val="center"/>
            <w:hideMark/>
          </w:tcPr>
          <w:p w:rsidR="00C4254E" w:rsidRPr="00C4254E" w:rsidRDefault="00C4254E" w:rsidP="00C4254E">
            <w:pPr>
              <w:rPr>
                <w:sz w:val="16"/>
                <w:szCs w:val="20"/>
                <w:lang w:val="en-US"/>
              </w:rPr>
            </w:pPr>
            <w:r w:rsidRPr="00C4254E">
              <w:rPr>
                <w:sz w:val="16"/>
                <w:szCs w:val="20"/>
                <w:lang w:val="en-US"/>
              </w:rPr>
              <w:t> </w:t>
            </w:r>
          </w:p>
        </w:tc>
        <w:tc>
          <w:tcPr>
            <w:tcW w:w="898" w:type="dxa"/>
            <w:tcBorders>
              <w:top w:val="single" w:sz="4" w:space="0" w:color="auto"/>
              <w:left w:val="single" w:sz="4" w:space="0" w:color="D0CECE"/>
              <w:bottom w:val="single" w:sz="4" w:space="0" w:color="auto"/>
              <w:right w:val="single" w:sz="4" w:space="0" w:color="D0CECE"/>
            </w:tcBorders>
            <w:noWrap/>
            <w:vAlign w:val="center"/>
            <w:hideMark/>
          </w:tcPr>
          <w:p w:rsidR="00C4254E" w:rsidRPr="00C4254E" w:rsidRDefault="00C4254E" w:rsidP="00C4254E">
            <w:pPr>
              <w:rPr>
                <w:sz w:val="16"/>
                <w:szCs w:val="20"/>
                <w:lang w:val="en-US"/>
              </w:rPr>
            </w:pPr>
            <w:r w:rsidRPr="00C4254E">
              <w:rPr>
                <w:sz w:val="16"/>
                <w:szCs w:val="20"/>
                <w:lang w:val="en-US"/>
              </w:rPr>
              <w:t> </w:t>
            </w:r>
          </w:p>
        </w:tc>
        <w:tc>
          <w:tcPr>
            <w:tcW w:w="932" w:type="dxa"/>
            <w:tcBorders>
              <w:top w:val="single" w:sz="4" w:space="0" w:color="auto"/>
              <w:left w:val="nil"/>
              <w:bottom w:val="single" w:sz="4" w:space="0" w:color="auto"/>
              <w:right w:val="nil"/>
            </w:tcBorders>
            <w:noWrap/>
            <w:vAlign w:val="center"/>
            <w:hideMark/>
          </w:tcPr>
          <w:p w:rsidR="00C4254E" w:rsidRPr="00C4254E" w:rsidRDefault="00C4254E" w:rsidP="00C4254E">
            <w:pPr>
              <w:rPr>
                <w:sz w:val="16"/>
                <w:szCs w:val="20"/>
                <w:lang w:val="en-US"/>
              </w:rPr>
            </w:pPr>
            <w:r w:rsidRPr="00C4254E">
              <w:rPr>
                <w:sz w:val="16"/>
                <w:szCs w:val="20"/>
                <w:lang w:val="en-US"/>
              </w:rPr>
              <w:t> </w:t>
            </w:r>
          </w:p>
        </w:tc>
        <w:tc>
          <w:tcPr>
            <w:tcW w:w="837" w:type="dxa"/>
            <w:tcBorders>
              <w:top w:val="single" w:sz="4" w:space="0" w:color="auto"/>
              <w:left w:val="single" w:sz="4" w:space="0" w:color="D0CECE"/>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 </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C4254E" w:rsidRPr="00CF6751" w:rsidRDefault="00CF6751" w:rsidP="00C4254E">
            <w:pPr>
              <w:rPr>
                <w:sz w:val="16"/>
                <w:szCs w:val="20"/>
              </w:rPr>
            </w:pPr>
            <w:r w:rsidRPr="00CF6751">
              <w:rPr>
                <w:sz w:val="16"/>
                <w:szCs w:val="20"/>
              </w:rPr>
              <w:t>Меморандум: Центральное правительство</w:t>
            </w:r>
            <w:proofErr w:type="gramStart"/>
            <w:r w:rsidRPr="00CF6751">
              <w:rPr>
                <w:sz w:val="16"/>
                <w:szCs w:val="20"/>
              </w:rPr>
              <w:t>.</w:t>
            </w:r>
            <w:proofErr w:type="gramEnd"/>
            <w:r w:rsidRPr="00CF6751">
              <w:rPr>
                <w:sz w:val="16"/>
                <w:szCs w:val="20"/>
              </w:rPr>
              <w:t xml:space="preserve"> (</w:t>
            </w:r>
            <w:proofErr w:type="gramStart"/>
            <w:r w:rsidRPr="00CF6751">
              <w:rPr>
                <w:sz w:val="16"/>
                <w:szCs w:val="20"/>
              </w:rPr>
              <w:t>в</w:t>
            </w:r>
            <w:proofErr w:type="gramEnd"/>
            <w:r w:rsidRPr="00CF6751">
              <w:rPr>
                <w:sz w:val="16"/>
                <w:szCs w:val="20"/>
              </w:rPr>
              <w:t>ключая Фонд социального развития центрального уровня)</w:t>
            </w:r>
          </w:p>
        </w:tc>
      </w:tr>
      <w:tr w:rsidR="00C4254E" w:rsidRPr="00C4254E" w:rsidTr="00CF6751">
        <w:trPr>
          <w:trHeight w:val="540"/>
        </w:trPr>
        <w:tc>
          <w:tcPr>
            <w:tcW w:w="3857" w:type="dxa"/>
            <w:gridSpan w:val="6"/>
            <w:tcBorders>
              <w:top w:val="single" w:sz="4" w:space="0" w:color="auto"/>
              <w:left w:val="single" w:sz="4" w:space="0" w:color="auto"/>
              <w:bottom w:val="single" w:sz="4" w:space="0" w:color="auto"/>
              <w:right w:val="single" w:sz="4" w:space="0" w:color="auto"/>
            </w:tcBorders>
            <w:noWrap/>
            <w:vAlign w:val="center"/>
            <w:hideMark/>
          </w:tcPr>
          <w:p w:rsidR="00C4254E" w:rsidRPr="00CF6751" w:rsidRDefault="00CF6751" w:rsidP="00C4254E">
            <w:pPr>
              <w:rPr>
                <w:sz w:val="16"/>
                <w:szCs w:val="20"/>
              </w:rPr>
            </w:pPr>
            <w:r w:rsidRPr="00CF6751">
              <w:rPr>
                <w:sz w:val="16"/>
                <w:szCs w:val="20"/>
              </w:rPr>
              <w:t>Центральное правительство (за исключением фондов социального обеспечения)</w:t>
            </w:r>
          </w:p>
        </w:tc>
        <w:tc>
          <w:tcPr>
            <w:tcW w:w="1007" w:type="dxa"/>
            <w:vMerge w:val="restart"/>
            <w:tcBorders>
              <w:top w:val="nil"/>
              <w:left w:val="single" w:sz="4" w:space="0" w:color="auto"/>
              <w:bottom w:val="single" w:sz="4" w:space="0" w:color="auto"/>
              <w:right w:val="single" w:sz="4" w:space="0" w:color="auto"/>
            </w:tcBorders>
            <w:vAlign w:val="center"/>
            <w:hideMark/>
          </w:tcPr>
          <w:p w:rsidR="00CF6751" w:rsidRPr="00CF6751" w:rsidRDefault="00CF6751" w:rsidP="00CF6751">
            <w:pPr>
              <w:rPr>
                <w:sz w:val="16"/>
                <w:szCs w:val="20"/>
              </w:rPr>
            </w:pPr>
            <w:r w:rsidRPr="00CF6751">
              <w:rPr>
                <w:sz w:val="16"/>
                <w:szCs w:val="20"/>
              </w:rPr>
              <w:t>Фонды социального страхования</w:t>
            </w:r>
            <w:r w:rsidRPr="00CF6751">
              <w:rPr>
                <w:sz w:val="16"/>
                <w:szCs w:val="20"/>
              </w:rPr>
              <w:tab/>
            </w:r>
          </w:p>
          <w:p w:rsidR="00CF6751" w:rsidRPr="00CF6751" w:rsidRDefault="00CF6751" w:rsidP="00CF6751">
            <w:pPr>
              <w:rPr>
                <w:sz w:val="16"/>
                <w:szCs w:val="20"/>
              </w:rPr>
            </w:pPr>
            <w:r w:rsidRPr="00CF6751">
              <w:rPr>
                <w:sz w:val="16"/>
                <w:szCs w:val="20"/>
              </w:rPr>
              <w:tab/>
            </w:r>
          </w:p>
          <w:p w:rsidR="00CF6751" w:rsidRPr="00CF6751" w:rsidRDefault="00CF6751" w:rsidP="00CF6751">
            <w:pPr>
              <w:rPr>
                <w:sz w:val="16"/>
                <w:szCs w:val="20"/>
              </w:rPr>
            </w:pPr>
            <w:r w:rsidRPr="00CF6751">
              <w:rPr>
                <w:sz w:val="16"/>
                <w:szCs w:val="20"/>
              </w:rPr>
              <w:tab/>
            </w:r>
          </w:p>
          <w:p w:rsidR="00C4254E" w:rsidRPr="00CF6751" w:rsidRDefault="00C4254E" w:rsidP="00CF6751">
            <w:pPr>
              <w:rPr>
                <w:sz w:val="16"/>
                <w:szCs w:val="20"/>
              </w:rPr>
            </w:pPr>
          </w:p>
        </w:tc>
        <w:tc>
          <w:tcPr>
            <w:tcW w:w="898" w:type="dxa"/>
            <w:vMerge w:val="restart"/>
            <w:tcBorders>
              <w:top w:val="nil"/>
              <w:left w:val="single" w:sz="4" w:space="0" w:color="auto"/>
              <w:bottom w:val="single" w:sz="4" w:space="0" w:color="auto"/>
              <w:right w:val="single" w:sz="4" w:space="0" w:color="auto"/>
            </w:tcBorders>
            <w:vAlign w:val="center"/>
            <w:hideMark/>
          </w:tcPr>
          <w:p w:rsidR="00C4254E" w:rsidRPr="00C4254E" w:rsidRDefault="00CF6751" w:rsidP="00C4254E">
            <w:pPr>
              <w:rPr>
                <w:sz w:val="16"/>
                <w:szCs w:val="20"/>
                <w:lang w:val="en-US"/>
              </w:rPr>
            </w:pPr>
            <w:r w:rsidRPr="00CF6751">
              <w:rPr>
                <w:sz w:val="16"/>
                <w:szCs w:val="20"/>
              </w:rPr>
              <w:t>Правительства штатов</w:t>
            </w:r>
          </w:p>
        </w:tc>
        <w:tc>
          <w:tcPr>
            <w:tcW w:w="898" w:type="dxa"/>
            <w:vMerge w:val="restart"/>
            <w:tcBorders>
              <w:top w:val="nil"/>
              <w:left w:val="single" w:sz="4" w:space="0" w:color="auto"/>
              <w:bottom w:val="single" w:sz="4" w:space="0" w:color="auto"/>
              <w:right w:val="single" w:sz="4" w:space="0" w:color="auto"/>
            </w:tcBorders>
            <w:vAlign w:val="center"/>
            <w:hideMark/>
          </w:tcPr>
          <w:p w:rsidR="00C4254E" w:rsidRPr="00CF6751" w:rsidRDefault="00CF6751" w:rsidP="00C4254E">
            <w:pPr>
              <w:rPr>
                <w:sz w:val="16"/>
                <w:szCs w:val="20"/>
              </w:rPr>
            </w:pPr>
            <w:r w:rsidRPr="00CF6751">
              <w:rPr>
                <w:sz w:val="16"/>
                <w:szCs w:val="20"/>
              </w:rPr>
              <w:t>Местные органы власти</w:t>
            </w:r>
          </w:p>
        </w:tc>
        <w:tc>
          <w:tcPr>
            <w:tcW w:w="932" w:type="dxa"/>
            <w:vMerge w:val="restart"/>
            <w:tcBorders>
              <w:top w:val="nil"/>
              <w:left w:val="single" w:sz="4" w:space="0" w:color="auto"/>
              <w:bottom w:val="single" w:sz="4" w:space="0" w:color="auto"/>
              <w:right w:val="single" w:sz="4" w:space="0" w:color="auto"/>
            </w:tcBorders>
            <w:vAlign w:val="center"/>
            <w:hideMark/>
          </w:tcPr>
          <w:p w:rsidR="00CF6751" w:rsidRPr="00CF6751" w:rsidRDefault="00CF6751" w:rsidP="00CF6751">
            <w:pPr>
              <w:rPr>
                <w:sz w:val="16"/>
                <w:szCs w:val="20"/>
              </w:rPr>
            </w:pPr>
            <w:r w:rsidRPr="00CF6751">
              <w:rPr>
                <w:sz w:val="16"/>
                <w:szCs w:val="20"/>
              </w:rPr>
              <w:t>Сводная таблица</w:t>
            </w:r>
            <w:r w:rsidRPr="00CF6751">
              <w:rPr>
                <w:sz w:val="16"/>
                <w:szCs w:val="20"/>
              </w:rPr>
              <w:tab/>
            </w:r>
          </w:p>
          <w:p w:rsidR="00C4254E" w:rsidRPr="00C4254E" w:rsidRDefault="00C4254E" w:rsidP="00C4254E">
            <w:pPr>
              <w:rPr>
                <w:sz w:val="16"/>
                <w:szCs w:val="20"/>
                <w:lang w:val="en-US"/>
              </w:rPr>
            </w:pPr>
          </w:p>
        </w:tc>
        <w:tc>
          <w:tcPr>
            <w:tcW w:w="837" w:type="dxa"/>
            <w:vMerge w:val="restart"/>
            <w:tcBorders>
              <w:top w:val="nil"/>
              <w:left w:val="single" w:sz="4" w:space="0" w:color="auto"/>
              <w:bottom w:val="single" w:sz="4" w:space="0" w:color="auto"/>
              <w:right w:val="single" w:sz="4" w:space="0" w:color="auto"/>
            </w:tcBorders>
            <w:vAlign w:val="center"/>
            <w:hideMark/>
          </w:tcPr>
          <w:p w:rsidR="00C4254E" w:rsidRPr="00CF6751" w:rsidRDefault="00CF6751" w:rsidP="00C4254E">
            <w:pPr>
              <w:rPr>
                <w:sz w:val="16"/>
                <w:szCs w:val="20"/>
              </w:rPr>
            </w:pPr>
            <w:r w:rsidRPr="00CF6751">
              <w:rPr>
                <w:sz w:val="16"/>
                <w:szCs w:val="20"/>
              </w:rPr>
              <w:t>Органы государственного управления</w:t>
            </w: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C4254E" w:rsidRPr="00CF6751" w:rsidRDefault="00C4254E" w:rsidP="00C4254E">
            <w:pPr>
              <w:rPr>
                <w:sz w:val="16"/>
                <w:szCs w:val="20"/>
              </w:rPr>
            </w:pPr>
          </w:p>
        </w:tc>
      </w:tr>
      <w:tr w:rsidR="00C4254E" w:rsidRPr="00C4254E" w:rsidTr="00CF6751">
        <w:trPr>
          <w:trHeight w:val="750"/>
        </w:trPr>
        <w:tc>
          <w:tcPr>
            <w:tcW w:w="1022" w:type="dxa"/>
            <w:gridSpan w:val="2"/>
            <w:tcBorders>
              <w:top w:val="nil"/>
              <w:left w:val="single" w:sz="4" w:space="0" w:color="auto"/>
              <w:bottom w:val="single" w:sz="4" w:space="0" w:color="auto"/>
              <w:right w:val="single" w:sz="4" w:space="0" w:color="auto"/>
            </w:tcBorders>
            <w:noWrap/>
            <w:vAlign w:val="center"/>
            <w:hideMark/>
          </w:tcPr>
          <w:p w:rsidR="00C4254E" w:rsidRPr="00C4254E" w:rsidRDefault="00C4254E" w:rsidP="00C4254E">
            <w:pPr>
              <w:rPr>
                <w:sz w:val="16"/>
                <w:szCs w:val="20"/>
              </w:rPr>
            </w:pPr>
            <w:r w:rsidRPr="00C4254E">
              <w:rPr>
                <w:sz w:val="16"/>
                <w:szCs w:val="20"/>
              </w:rPr>
              <w:t>Бюджетные ресурсы</w:t>
            </w:r>
            <w:r w:rsidRPr="00C4254E">
              <w:rPr>
                <w:sz w:val="16"/>
                <w:szCs w:val="20"/>
              </w:rPr>
              <w:tab/>
            </w:r>
          </w:p>
          <w:p w:rsidR="00C4254E" w:rsidRPr="00C4254E" w:rsidRDefault="00C4254E" w:rsidP="00C4254E">
            <w:pPr>
              <w:rPr>
                <w:sz w:val="16"/>
                <w:szCs w:val="20"/>
              </w:rPr>
            </w:pPr>
          </w:p>
        </w:tc>
        <w:tc>
          <w:tcPr>
            <w:tcW w:w="992"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proofErr w:type="gramStart"/>
            <w:r w:rsidRPr="00C4254E">
              <w:rPr>
                <w:sz w:val="16"/>
                <w:szCs w:val="20"/>
              </w:rPr>
              <w:t>Вне-бюджетные</w:t>
            </w:r>
            <w:proofErr w:type="gramEnd"/>
            <w:r w:rsidRPr="00C4254E">
              <w:rPr>
                <w:sz w:val="16"/>
                <w:szCs w:val="20"/>
              </w:rPr>
              <w:t xml:space="preserve"> ресурсы</w:t>
            </w:r>
          </w:p>
        </w:tc>
        <w:tc>
          <w:tcPr>
            <w:tcW w:w="709" w:type="dxa"/>
            <w:gridSpan w:val="2"/>
            <w:tcBorders>
              <w:top w:val="nil"/>
              <w:left w:val="nil"/>
              <w:bottom w:val="single" w:sz="4" w:space="0" w:color="auto"/>
              <w:right w:val="single" w:sz="4" w:space="0" w:color="auto"/>
            </w:tcBorders>
            <w:vAlign w:val="center"/>
            <w:hideMark/>
          </w:tcPr>
          <w:p w:rsidR="00C4254E" w:rsidRPr="00C4254E" w:rsidRDefault="00C4254E" w:rsidP="00C4254E">
            <w:pPr>
              <w:rPr>
                <w:sz w:val="16"/>
                <w:szCs w:val="20"/>
              </w:rPr>
            </w:pPr>
            <w:r w:rsidRPr="00C4254E">
              <w:rPr>
                <w:sz w:val="16"/>
                <w:szCs w:val="20"/>
              </w:rPr>
              <w:t>Сводная колонка</w:t>
            </w:r>
            <w:r w:rsidRPr="00C4254E">
              <w:rPr>
                <w:sz w:val="16"/>
                <w:szCs w:val="20"/>
              </w:rPr>
              <w:tab/>
            </w:r>
          </w:p>
          <w:p w:rsidR="00C4254E" w:rsidRPr="00C4254E" w:rsidRDefault="00C4254E" w:rsidP="00C4254E">
            <w:pPr>
              <w:rPr>
                <w:sz w:val="16"/>
                <w:szCs w:val="20"/>
                <w:lang w:val="en-US"/>
              </w:rPr>
            </w:pPr>
          </w:p>
        </w:tc>
        <w:tc>
          <w:tcPr>
            <w:tcW w:w="1134" w:type="dxa"/>
            <w:tcBorders>
              <w:top w:val="nil"/>
              <w:left w:val="nil"/>
              <w:bottom w:val="single" w:sz="4" w:space="0" w:color="auto"/>
              <w:right w:val="single" w:sz="4" w:space="0" w:color="auto"/>
            </w:tcBorders>
            <w:vAlign w:val="center"/>
            <w:hideMark/>
          </w:tcPr>
          <w:p w:rsidR="00C4254E" w:rsidRPr="00C4254E" w:rsidRDefault="00C4254E" w:rsidP="00C4254E">
            <w:pPr>
              <w:rPr>
                <w:sz w:val="16"/>
                <w:szCs w:val="20"/>
                <w:lang w:val="en-US"/>
              </w:rPr>
            </w:pPr>
            <w:r w:rsidRPr="00C4254E">
              <w:rPr>
                <w:sz w:val="16"/>
                <w:szCs w:val="20"/>
              </w:rPr>
              <w:t>Центральное правительство</w:t>
            </w:r>
          </w:p>
        </w:tc>
        <w:tc>
          <w:tcPr>
            <w:tcW w:w="1007" w:type="dxa"/>
            <w:vMerge/>
            <w:tcBorders>
              <w:top w:val="nil"/>
              <w:left w:val="single" w:sz="4" w:space="0" w:color="auto"/>
              <w:bottom w:val="single" w:sz="4" w:space="0" w:color="auto"/>
              <w:right w:val="single" w:sz="4" w:space="0" w:color="auto"/>
            </w:tcBorders>
            <w:vAlign w:val="center"/>
            <w:hideMark/>
          </w:tcPr>
          <w:p w:rsidR="00C4254E" w:rsidRPr="00C4254E" w:rsidRDefault="00C4254E" w:rsidP="00C4254E">
            <w:pPr>
              <w:rPr>
                <w:sz w:val="16"/>
                <w:szCs w:val="20"/>
                <w:lang w:val="en-US"/>
              </w:rPr>
            </w:pPr>
          </w:p>
        </w:tc>
        <w:tc>
          <w:tcPr>
            <w:tcW w:w="898" w:type="dxa"/>
            <w:vMerge/>
            <w:tcBorders>
              <w:top w:val="nil"/>
              <w:left w:val="single" w:sz="4" w:space="0" w:color="auto"/>
              <w:bottom w:val="single" w:sz="4" w:space="0" w:color="auto"/>
              <w:right w:val="single" w:sz="4" w:space="0" w:color="auto"/>
            </w:tcBorders>
            <w:vAlign w:val="center"/>
            <w:hideMark/>
          </w:tcPr>
          <w:p w:rsidR="00C4254E" w:rsidRPr="00C4254E" w:rsidRDefault="00C4254E" w:rsidP="00C4254E">
            <w:pPr>
              <w:rPr>
                <w:sz w:val="16"/>
                <w:szCs w:val="20"/>
                <w:lang w:val="en-US"/>
              </w:rPr>
            </w:pPr>
          </w:p>
        </w:tc>
        <w:tc>
          <w:tcPr>
            <w:tcW w:w="898" w:type="dxa"/>
            <w:vMerge/>
            <w:tcBorders>
              <w:top w:val="nil"/>
              <w:left w:val="single" w:sz="4" w:space="0" w:color="auto"/>
              <w:bottom w:val="single" w:sz="4" w:space="0" w:color="auto"/>
              <w:right w:val="single" w:sz="4" w:space="0" w:color="auto"/>
            </w:tcBorders>
            <w:vAlign w:val="center"/>
            <w:hideMark/>
          </w:tcPr>
          <w:p w:rsidR="00C4254E" w:rsidRPr="00C4254E" w:rsidRDefault="00C4254E" w:rsidP="00C4254E">
            <w:pPr>
              <w:rPr>
                <w:sz w:val="16"/>
                <w:szCs w:val="20"/>
                <w:lang w:val="en-US"/>
              </w:rPr>
            </w:pPr>
          </w:p>
        </w:tc>
        <w:tc>
          <w:tcPr>
            <w:tcW w:w="932" w:type="dxa"/>
            <w:vMerge/>
            <w:tcBorders>
              <w:top w:val="nil"/>
              <w:left w:val="single" w:sz="4" w:space="0" w:color="auto"/>
              <w:bottom w:val="single" w:sz="4" w:space="0" w:color="auto"/>
              <w:right w:val="single" w:sz="4" w:space="0" w:color="auto"/>
            </w:tcBorders>
            <w:vAlign w:val="center"/>
            <w:hideMark/>
          </w:tcPr>
          <w:p w:rsidR="00C4254E" w:rsidRPr="00C4254E" w:rsidRDefault="00C4254E" w:rsidP="00C4254E">
            <w:pPr>
              <w:rPr>
                <w:sz w:val="16"/>
                <w:szCs w:val="20"/>
                <w:lang w:val="en-US"/>
              </w:rPr>
            </w:pPr>
          </w:p>
        </w:tc>
        <w:tc>
          <w:tcPr>
            <w:tcW w:w="837" w:type="dxa"/>
            <w:vMerge/>
            <w:tcBorders>
              <w:top w:val="nil"/>
              <w:left w:val="single" w:sz="4" w:space="0" w:color="auto"/>
              <w:bottom w:val="single" w:sz="4" w:space="0" w:color="auto"/>
              <w:right w:val="single" w:sz="4" w:space="0" w:color="auto"/>
            </w:tcBorders>
            <w:vAlign w:val="center"/>
            <w:hideMark/>
          </w:tcPr>
          <w:p w:rsidR="00C4254E" w:rsidRPr="00C4254E" w:rsidRDefault="00C4254E" w:rsidP="00C4254E">
            <w:pPr>
              <w:rPr>
                <w:sz w:val="16"/>
                <w:szCs w:val="20"/>
                <w:lang w:val="en-US"/>
              </w:rPr>
            </w:pP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C4254E" w:rsidRPr="00C4254E" w:rsidRDefault="00C4254E" w:rsidP="00C4254E">
            <w:pPr>
              <w:rPr>
                <w:sz w:val="16"/>
                <w:szCs w:val="20"/>
                <w:lang w:val="en-US"/>
              </w:rPr>
            </w:pPr>
          </w:p>
        </w:tc>
      </w:tr>
      <w:tr w:rsidR="00C4254E" w:rsidRPr="00C4254E" w:rsidTr="00CF6751">
        <w:trPr>
          <w:trHeight w:val="540"/>
        </w:trPr>
        <w:tc>
          <w:tcPr>
            <w:tcW w:w="1022" w:type="dxa"/>
            <w:gridSpan w:val="2"/>
            <w:tcBorders>
              <w:top w:val="nil"/>
              <w:left w:val="single" w:sz="4" w:space="0" w:color="auto"/>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BA = GL1</w:t>
            </w:r>
          </w:p>
        </w:tc>
        <w:tc>
          <w:tcPr>
            <w:tcW w:w="992"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EA</w:t>
            </w:r>
          </w:p>
        </w:tc>
        <w:tc>
          <w:tcPr>
            <w:tcW w:w="709" w:type="dxa"/>
            <w:gridSpan w:val="2"/>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CC</w:t>
            </w:r>
          </w:p>
        </w:tc>
        <w:tc>
          <w:tcPr>
            <w:tcW w:w="1134"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CG</w:t>
            </w:r>
          </w:p>
        </w:tc>
        <w:tc>
          <w:tcPr>
            <w:tcW w:w="1007"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SSF</w:t>
            </w:r>
          </w:p>
        </w:tc>
        <w:tc>
          <w:tcPr>
            <w:tcW w:w="898"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SG</w:t>
            </w:r>
          </w:p>
        </w:tc>
        <w:tc>
          <w:tcPr>
            <w:tcW w:w="898"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LG</w:t>
            </w:r>
          </w:p>
        </w:tc>
        <w:tc>
          <w:tcPr>
            <w:tcW w:w="932"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CT</w:t>
            </w:r>
          </w:p>
        </w:tc>
        <w:tc>
          <w:tcPr>
            <w:tcW w:w="837"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GG = GL3</w:t>
            </w:r>
          </w:p>
        </w:tc>
        <w:tc>
          <w:tcPr>
            <w:tcW w:w="1098" w:type="dxa"/>
            <w:tcBorders>
              <w:top w:val="nil"/>
              <w:left w:val="nil"/>
              <w:bottom w:val="single" w:sz="4" w:space="0" w:color="auto"/>
              <w:right w:val="single" w:sz="4" w:space="0" w:color="auto"/>
            </w:tcBorders>
            <w:noWrap/>
            <w:vAlign w:val="center"/>
            <w:hideMark/>
          </w:tcPr>
          <w:p w:rsidR="00C4254E" w:rsidRPr="00C4254E" w:rsidRDefault="00C4254E" w:rsidP="00C4254E">
            <w:pPr>
              <w:rPr>
                <w:sz w:val="16"/>
                <w:szCs w:val="20"/>
                <w:lang w:val="en-US"/>
              </w:rPr>
            </w:pPr>
            <w:r w:rsidRPr="00C4254E">
              <w:rPr>
                <w:sz w:val="16"/>
                <w:szCs w:val="20"/>
                <w:lang w:val="en-US"/>
              </w:rPr>
              <w:t>GL2</w:t>
            </w:r>
          </w:p>
        </w:tc>
      </w:tr>
    </w:tbl>
    <w:p w:rsidR="00C4254E" w:rsidRDefault="00C4254E" w:rsidP="00C4254E"/>
    <w:p w:rsidR="002E15F9"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285331" w:rsidRPr="00285331" w:rsidRDefault="00340A25" w:rsidP="00285331">
      <w:r w:rsidRPr="00340A25">
        <w:t>Общие государственные расходы на основные услуги (образование, здравоохранение и социальную защиту) выражены в процентах от общих государственных расходов в соответствии с данными COFOG (см. 2.а).</w:t>
      </w:r>
    </w:p>
    <w:p w:rsidR="00340A25" w:rsidRPr="00340A25" w:rsidRDefault="001D120F" w:rsidP="00340A25">
      <w:pPr>
        <w:rPr>
          <w:szCs w:val="24"/>
        </w:rPr>
      </w:pPr>
      <m:oMathPara>
        <m:oMath>
          <m:sSub>
            <m:sSubPr>
              <m:ctrlPr>
                <w:rPr>
                  <w:rFonts w:ascii="Cambria Math" w:hAnsi="Cambria Math"/>
                  <w:i/>
                  <w:szCs w:val="24"/>
                  <w:lang w:val="en-GB"/>
                </w:rPr>
              </m:ctrlPr>
            </m:sSubPr>
            <m:e>
              <m:r>
                <w:rPr>
                  <w:rFonts w:ascii="Cambria Math" w:hAnsi="Cambria Math"/>
                  <w:szCs w:val="24"/>
                  <w:lang w:val="en-GB"/>
                </w:rPr>
                <m:t>PE</m:t>
              </m:r>
            </m:e>
            <m:sub>
              <m:r>
                <w:rPr>
                  <w:rFonts w:ascii="Cambria Math" w:hAnsi="Cambria Math"/>
                  <w:szCs w:val="24"/>
                  <w:lang w:val="en-GB"/>
                </w:rPr>
                <m:t>t</m:t>
              </m:r>
            </m:sub>
          </m:sSub>
          <m:r>
            <m:rPr>
              <m:sty m:val="p"/>
            </m:rPr>
            <w:rPr>
              <w:rFonts w:ascii="Cambria Math" w:hAnsi="Cambria Math"/>
              <w:szCs w:val="24"/>
            </w:rPr>
            <m:t>=</m:t>
          </m:r>
          <m:f>
            <m:fPr>
              <m:ctrlPr>
                <w:rPr>
                  <w:rFonts w:ascii="Cambria Math" w:hAnsi="Cambria Math"/>
                  <w:szCs w:val="24"/>
                  <w:lang w:val="en-GB"/>
                </w:rPr>
              </m:ctrlPr>
            </m:fPr>
            <m:num>
              <m:r>
                <w:rPr>
                  <w:rFonts w:ascii="Cambria Math" w:hAnsi="Cambria Math"/>
                  <w:szCs w:val="24"/>
                </w:rPr>
                <m:t>(</m:t>
              </m:r>
              <m:r>
                <w:rPr>
                  <w:rFonts w:ascii="Cambria Math" w:hAnsi="Cambria Math"/>
                  <w:szCs w:val="24"/>
                  <w:lang w:val="en-GB"/>
                </w:rPr>
                <m:t>T</m:t>
              </m:r>
              <m:sSub>
                <m:sSubPr>
                  <m:ctrlPr>
                    <w:rPr>
                      <w:rFonts w:ascii="Cambria Math" w:hAnsi="Cambria Math"/>
                      <w:i/>
                      <w:szCs w:val="24"/>
                      <w:lang w:val="en-GB"/>
                    </w:rPr>
                  </m:ctrlPr>
                </m:sSubPr>
                <m:e>
                  <m:r>
                    <w:rPr>
                      <w:rFonts w:ascii="Cambria Math" w:hAnsi="Cambria Math"/>
                      <w:szCs w:val="24"/>
                      <w:lang w:val="en-GB"/>
                    </w:rPr>
                    <m:t>E</m:t>
                  </m:r>
                </m:e>
                <m:sub>
                  <m:r>
                    <w:rPr>
                      <w:rFonts w:ascii="Cambria Math" w:hAnsi="Cambria Math"/>
                      <w:szCs w:val="24"/>
                      <w:lang w:val="en-GB"/>
                    </w:rPr>
                    <m:t>t</m:t>
                  </m:r>
                  <m:r>
                    <w:rPr>
                      <w:rFonts w:ascii="Cambria Math" w:hAnsi="Cambria Math"/>
                      <w:szCs w:val="24"/>
                    </w:rPr>
                    <m:t xml:space="preserve"> </m:t>
                  </m:r>
                </m:sub>
              </m:sSub>
              <m:r>
                <w:rPr>
                  <w:rFonts w:ascii="Cambria Math" w:hAnsi="Cambria Math"/>
                  <w:szCs w:val="24"/>
                </w:rPr>
                <m:t xml:space="preserve">+ </m:t>
              </m:r>
              <m:r>
                <w:rPr>
                  <w:rFonts w:ascii="Cambria Math" w:hAnsi="Cambria Math"/>
                  <w:szCs w:val="24"/>
                  <w:lang w:val="en-GB"/>
                </w:rPr>
                <m:t>T</m:t>
              </m:r>
              <m:sSub>
                <m:sSubPr>
                  <m:ctrlPr>
                    <w:rPr>
                      <w:rFonts w:ascii="Cambria Math" w:hAnsi="Cambria Math"/>
                      <w:i/>
                      <w:szCs w:val="24"/>
                      <w:lang w:val="en-GB"/>
                    </w:rPr>
                  </m:ctrlPr>
                </m:sSubPr>
                <m:e>
                  <m:r>
                    <w:rPr>
                      <w:rFonts w:ascii="Cambria Math" w:hAnsi="Cambria Math"/>
                      <w:szCs w:val="24"/>
                      <w:lang w:val="en-GB"/>
                    </w:rPr>
                    <m:t>H</m:t>
                  </m:r>
                </m:e>
                <m:sub>
                  <m:r>
                    <w:rPr>
                      <w:rFonts w:ascii="Cambria Math" w:hAnsi="Cambria Math"/>
                      <w:szCs w:val="24"/>
                      <w:lang w:val="en-GB"/>
                    </w:rPr>
                    <m:t>t</m:t>
                  </m:r>
                  <m:r>
                    <w:rPr>
                      <w:rFonts w:ascii="Cambria Math" w:hAnsi="Cambria Math"/>
                      <w:szCs w:val="24"/>
                    </w:rPr>
                    <m:t xml:space="preserve"> </m:t>
                  </m:r>
                </m:sub>
              </m:sSub>
              <m:r>
                <w:rPr>
                  <w:rFonts w:ascii="Cambria Math" w:hAnsi="Cambria Math"/>
                  <w:szCs w:val="24"/>
                </w:rPr>
                <m:t>+</m:t>
              </m:r>
              <m:r>
                <w:rPr>
                  <w:rFonts w:ascii="Cambria Math" w:hAnsi="Cambria Math"/>
                  <w:szCs w:val="24"/>
                  <w:lang w:val="en-GB"/>
                </w:rPr>
                <m:t>T</m:t>
              </m:r>
              <m:sSub>
                <m:sSubPr>
                  <m:ctrlPr>
                    <w:rPr>
                      <w:rFonts w:ascii="Cambria Math" w:hAnsi="Cambria Math"/>
                      <w:i/>
                      <w:szCs w:val="24"/>
                      <w:lang w:val="en-GB"/>
                    </w:rPr>
                  </m:ctrlPr>
                </m:sSubPr>
                <m:e>
                  <m:r>
                    <w:rPr>
                      <w:rFonts w:ascii="Cambria Math" w:hAnsi="Cambria Math"/>
                      <w:szCs w:val="24"/>
                      <w:lang w:val="en-GB"/>
                    </w:rPr>
                    <m:t>S</m:t>
                  </m:r>
                </m:e>
                <m:sub>
                  <m:r>
                    <w:rPr>
                      <w:rFonts w:ascii="Cambria Math" w:hAnsi="Cambria Math"/>
                      <w:szCs w:val="24"/>
                      <w:lang w:val="en-GB"/>
                    </w:rPr>
                    <m:t>t</m:t>
                  </m:r>
                  <m:r>
                    <w:rPr>
                      <w:rFonts w:ascii="Cambria Math" w:hAnsi="Cambria Math"/>
                      <w:szCs w:val="24"/>
                    </w:rPr>
                    <m:t xml:space="preserve"> </m:t>
                  </m:r>
                </m:sub>
              </m:sSub>
              <m:r>
                <w:rPr>
                  <w:rFonts w:ascii="Cambria Math" w:hAnsi="Cambria Math"/>
                  <w:szCs w:val="24"/>
                </w:rPr>
                <m:t>)</m:t>
              </m:r>
            </m:num>
            <m:den>
              <m:sSub>
                <m:sSubPr>
                  <m:ctrlPr>
                    <w:rPr>
                      <w:rFonts w:ascii="Cambria Math" w:hAnsi="Cambria Math"/>
                      <w:i/>
                      <w:szCs w:val="24"/>
                      <w:lang w:val="en-GB"/>
                    </w:rPr>
                  </m:ctrlPr>
                </m:sSubPr>
                <m:e>
                  <m:r>
                    <w:rPr>
                      <w:rFonts w:ascii="Cambria Math" w:hAnsi="Cambria Math"/>
                      <w:szCs w:val="24"/>
                      <w:lang w:val="en-GB"/>
                    </w:rPr>
                    <m:t>TG</m:t>
                  </m:r>
                </m:e>
                <m:sub>
                  <m:r>
                    <w:rPr>
                      <w:rFonts w:ascii="Cambria Math" w:hAnsi="Cambria Math"/>
                      <w:szCs w:val="24"/>
                      <w:lang w:val="en-GB"/>
                    </w:rPr>
                    <m:t>t</m:t>
                  </m:r>
                </m:sub>
              </m:sSub>
            </m:den>
          </m:f>
        </m:oMath>
      </m:oMathPara>
    </w:p>
    <w:p w:rsidR="00285331" w:rsidRDefault="00285331" w:rsidP="00285331"/>
    <w:p w:rsidR="00340A25" w:rsidRPr="00362A2D" w:rsidRDefault="001D120F" w:rsidP="00340A25">
      <w:pPr>
        <w:rPr>
          <w:rFonts w:ascii="Cambria Math" w:hAnsi="Cambria Math" w:cs="Cambria Math"/>
        </w:rPr>
      </w:pPr>
      <m:oMath>
        <m:sSub>
          <m:sSubPr>
            <m:ctrlPr>
              <w:rPr>
                <w:rFonts w:ascii="Cambria Math" w:hAnsi="Cambria Math" w:cs="Cambria Math"/>
                <w:i/>
                <w:lang w:val="en-GB"/>
              </w:rPr>
            </m:ctrlPr>
          </m:sSubPr>
          <m:e>
            <m:r>
              <w:rPr>
                <w:rFonts w:ascii="Cambria Math" w:hAnsi="Cambria Math" w:cs="Cambria Math"/>
                <w:lang w:val="en-GB"/>
              </w:rPr>
              <m:t>PE</m:t>
            </m:r>
          </m:e>
          <m:sub>
            <m:r>
              <w:rPr>
                <w:rFonts w:ascii="Cambria Math" w:hAnsi="Cambria Math" w:cs="Cambria Math"/>
                <w:lang w:val="en-GB"/>
              </w:rPr>
              <m:t>t</m:t>
            </m:r>
          </m:sub>
        </m:sSub>
      </m:oMath>
      <w:r w:rsidR="00340A25" w:rsidRPr="00340A25">
        <w:rPr>
          <w:rFonts w:ascii="Cambria Math" w:hAnsi="Cambria Math" w:cs="Cambria Math"/>
        </w:rPr>
        <w:t xml:space="preserve"> = государственные расходы на основные услуги (образование, здравоохранение и социальную защиту) в процентах от общих государственных расходов </w:t>
      </w:r>
      <w:r w:rsidR="00362A2D">
        <w:rPr>
          <w:rFonts w:ascii="Cambria Math" w:hAnsi="Cambria Math" w:cs="Cambria Math"/>
        </w:rPr>
        <w:t>за</w:t>
      </w:r>
      <w:r w:rsidR="00340A25" w:rsidRPr="00340A25">
        <w:rPr>
          <w:rFonts w:ascii="Cambria Math" w:hAnsi="Cambria Math" w:cs="Cambria Math"/>
        </w:rPr>
        <w:t xml:space="preserve"> финансов</w:t>
      </w:r>
      <w:r w:rsidR="00362A2D">
        <w:rPr>
          <w:rFonts w:ascii="Cambria Math" w:hAnsi="Cambria Math" w:cs="Cambria Math"/>
        </w:rPr>
        <w:t xml:space="preserve">ый год </w:t>
      </w:r>
      <w:r w:rsidR="00362A2D" w:rsidRPr="00362A2D">
        <w:rPr>
          <w:rFonts w:ascii="Cambria Math" w:hAnsi="Cambria Math" w:cs="Cambria Math"/>
          <w:i/>
          <w:lang w:val="en-US"/>
        </w:rPr>
        <w:t>t</w:t>
      </w:r>
    </w:p>
    <w:p w:rsidR="00340A25" w:rsidRPr="0004041B" w:rsidRDefault="001D120F" w:rsidP="00340A25">
      <w:pPr>
        <w:rPr>
          <w:rFonts w:ascii="Cambria Math" w:hAnsi="Cambria Math" w:cs="Cambria Math"/>
          <w:i/>
        </w:rPr>
      </w:pPr>
      <m:oMath>
        <m:sSub>
          <m:sSubPr>
            <m:ctrlPr>
              <w:rPr>
                <w:rFonts w:ascii="Cambria Math" w:hAnsi="Cambria Math" w:cs="Cambria Math"/>
                <w:i/>
                <w:lang w:val="en-GB"/>
              </w:rPr>
            </m:ctrlPr>
          </m:sSubPr>
          <m:e>
            <m:r>
              <w:rPr>
                <w:rFonts w:ascii="Cambria Math" w:hAnsi="Cambria Math" w:cs="Cambria Math"/>
                <w:lang w:val="en-GB"/>
              </w:rPr>
              <m:t>TE</m:t>
            </m:r>
          </m:e>
          <m:sub>
            <m:r>
              <w:rPr>
                <w:rFonts w:ascii="Cambria Math" w:hAnsi="Cambria Math" w:cs="Cambria Math"/>
                <w:lang w:val="en-GB"/>
              </w:rPr>
              <m:t>t</m:t>
            </m:r>
          </m:sub>
        </m:sSub>
      </m:oMath>
      <w:r w:rsidR="00340A25" w:rsidRPr="0004041B">
        <w:rPr>
          <w:rFonts w:ascii="Cambria Math" w:hAnsi="Cambria Math" w:cs="Cambria Math"/>
        </w:rPr>
        <w:t xml:space="preserve"> = </w:t>
      </w:r>
      <w:r w:rsidR="0004041B">
        <w:rPr>
          <w:rStyle w:val="ezkurwreuab5ozgtqnkl"/>
        </w:rPr>
        <w:t>общ</w:t>
      </w:r>
      <w:r w:rsidR="00362A2D">
        <w:rPr>
          <w:rStyle w:val="ezkurwreuab5ozgtqnkl"/>
        </w:rPr>
        <w:t xml:space="preserve">ая сумма </w:t>
      </w:r>
      <w:r w:rsidR="0004041B">
        <w:rPr>
          <w:rStyle w:val="ezkurwreuab5ozgtqnkl"/>
        </w:rPr>
        <w:t>государственных расходов</w:t>
      </w:r>
      <w:r w:rsidR="0004041B">
        <w:t xml:space="preserve"> </w:t>
      </w:r>
      <w:r w:rsidR="0004041B">
        <w:rPr>
          <w:rStyle w:val="ezkurwreuab5ozgtqnkl"/>
        </w:rPr>
        <w:t>на</w:t>
      </w:r>
      <w:r w:rsidR="0004041B">
        <w:t xml:space="preserve"> </w:t>
      </w:r>
      <w:r w:rsidR="0004041B">
        <w:rPr>
          <w:rStyle w:val="ezkurwreuab5ozgtqnkl"/>
        </w:rPr>
        <w:t>образование</w:t>
      </w:r>
      <w:r w:rsidR="0004041B">
        <w:t xml:space="preserve"> </w:t>
      </w:r>
      <w:r w:rsidR="0004041B">
        <w:rPr>
          <w:rStyle w:val="ezkurwreuab5ozgtqnkl"/>
        </w:rPr>
        <w:t>на</w:t>
      </w:r>
      <w:r w:rsidR="0004041B">
        <w:t xml:space="preserve"> </w:t>
      </w:r>
      <w:r w:rsidR="0004041B">
        <w:rPr>
          <w:rStyle w:val="ezkurwreuab5ozgtqnkl"/>
        </w:rPr>
        <w:t>финансовый год</w:t>
      </w:r>
      <w:r w:rsidR="0004041B">
        <w:t xml:space="preserve"> </w:t>
      </w:r>
      <w:r w:rsidR="00362A2D" w:rsidRPr="00362A2D">
        <w:rPr>
          <w:rFonts w:ascii="Cambria Math" w:hAnsi="Cambria Math" w:cs="Cambria Math"/>
          <w:i/>
          <w:lang w:val="en-US"/>
        </w:rPr>
        <w:t>t</w:t>
      </w:r>
    </w:p>
    <w:p w:rsidR="00340A25" w:rsidRPr="0004041B" w:rsidRDefault="001D120F" w:rsidP="00340A25">
      <w:pPr>
        <w:rPr>
          <w:rFonts w:ascii="Cambria Math" w:hAnsi="Cambria Math" w:cs="Cambria Math"/>
          <w:i/>
        </w:rPr>
      </w:pPr>
      <m:oMath>
        <m:sSub>
          <m:sSubPr>
            <m:ctrlPr>
              <w:rPr>
                <w:rFonts w:ascii="Cambria Math" w:hAnsi="Cambria Math" w:cs="Cambria Math"/>
                <w:i/>
                <w:lang w:val="en-GB"/>
              </w:rPr>
            </m:ctrlPr>
          </m:sSubPr>
          <m:e>
            <m:r>
              <w:rPr>
                <w:rFonts w:ascii="Cambria Math" w:hAnsi="Cambria Math" w:cs="Cambria Math"/>
                <w:lang w:val="en-GB"/>
              </w:rPr>
              <m:t>TH</m:t>
            </m:r>
          </m:e>
          <m:sub>
            <m:r>
              <w:rPr>
                <w:rFonts w:ascii="Cambria Math" w:hAnsi="Cambria Math" w:cs="Cambria Math"/>
                <w:lang w:val="en-GB"/>
              </w:rPr>
              <m:t>t</m:t>
            </m:r>
          </m:sub>
        </m:sSub>
      </m:oMath>
      <w:r w:rsidR="00340A25" w:rsidRPr="0004041B">
        <w:rPr>
          <w:rFonts w:ascii="Cambria Math" w:hAnsi="Cambria Math" w:cs="Cambria Math"/>
        </w:rPr>
        <w:t xml:space="preserve"> = </w:t>
      </w:r>
      <w:r w:rsidR="00916F68" w:rsidRPr="00916F68">
        <w:rPr>
          <w:rStyle w:val="ezkurwreuab5ozgtqnkl"/>
        </w:rPr>
        <w:t xml:space="preserve">общая сумма государственных расходов </w:t>
      </w:r>
      <w:r w:rsidR="0004041B">
        <w:rPr>
          <w:rStyle w:val="ezkurwreuab5ozgtqnkl"/>
        </w:rPr>
        <w:t>на здравоохранение</w:t>
      </w:r>
      <w:r w:rsidR="0004041B">
        <w:t xml:space="preserve"> </w:t>
      </w:r>
      <w:r w:rsidR="00916F68" w:rsidRPr="00916F68">
        <w:rPr>
          <w:rStyle w:val="ezkurwreuab5ozgtqnkl"/>
        </w:rPr>
        <w:t xml:space="preserve">за финансовый год </w:t>
      </w:r>
      <w:r w:rsidR="00362A2D" w:rsidRPr="00362A2D">
        <w:rPr>
          <w:rFonts w:ascii="Cambria Math" w:hAnsi="Cambria Math" w:cs="Cambria Math"/>
          <w:i/>
          <w:lang w:val="en-US"/>
        </w:rPr>
        <w:t>t</w:t>
      </w:r>
    </w:p>
    <w:p w:rsidR="00340A25" w:rsidRPr="0004041B" w:rsidRDefault="001D120F" w:rsidP="00340A25">
      <w:pPr>
        <w:rPr>
          <w:rFonts w:ascii="Cambria Math" w:hAnsi="Cambria Math" w:cs="Cambria Math"/>
          <w:i/>
        </w:rPr>
      </w:pPr>
      <m:oMath>
        <m:sSub>
          <m:sSubPr>
            <m:ctrlPr>
              <w:rPr>
                <w:rFonts w:ascii="Cambria Math" w:hAnsi="Cambria Math" w:cs="Cambria Math"/>
                <w:i/>
                <w:lang w:val="en-GB"/>
              </w:rPr>
            </m:ctrlPr>
          </m:sSubPr>
          <m:e>
            <m:r>
              <w:rPr>
                <w:rFonts w:ascii="Cambria Math" w:hAnsi="Cambria Math" w:cs="Cambria Math"/>
                <w:lang w:val="en-GB"/>
              </w:rPr>
              <m:t>TS</m:t>
            </m:r>
          </m:e>
          <m:sub>
            <m:r>
              <w:rPr>
                <w:rFonts w:ascii="Cambria Math" w:hAnsi="Cambria Math" w:cs="Cambria Math"/>
                <w:lang w:val="en-GB"/>
              </w:rPr>
              <m:t>t</m:t>
            </m:r>
          </m:sub>
        </m:sSub>
      </m:oMath>
      <w:r w:rsidR="00340A25" w:rsidRPr="0004041B">
        <w:rPr>
          <w:rFonts w:ascii="Cambria Math" w:hAnsi="Cambria Math" w:cs="Cambria Math"/>
        </w:rPr>
        <w:t xml:space="preserve"> = </w:t>
      </w:r>
      <w:r w:rsidR="00916F68" w:rsidRPr="00916F68">
        <w:rPr>
          <w:rFonts w:ascii="Cambria Math" w:hAnsi="Cambria Math" w:cs="Cambria Math"/>
        </w:rPr>
        <w:t xml:space="preserve">общая сумма государственных расходов </w:t>
      </w:r>
      <w:r w:rsidR="0004041B" w:rsidRPr="0004041B">
        <w:rPr>
          <w:rFonts w:ascii="Cambria Math" w:hAnsi="Cambria Math" w:cs="Cambria Math"/>
        </w:rPr>
        <w:t xml:space="preserve">на социальную защиту в сфере </w:t>
      </w:r>
      <w:r w:rsidR="00916F68" w:rsidRPr="00916F68">
        <w:rPr>
          <w:rFonts w:ascii="Cambria Math" w:hAnsi="Cambria Math" w:cs="Cambria Math"/>
        </w:rPr>
        <w:t xml:space="preserve">за финансовый год </w:t>
      </w:r>
      <w:r w:rsidR="00362A2D" w:rsidRPr="00362A2D">
        <w:rPr>
          <w:rFonts w:ascii="Cambria Math" w:hAnsi="Cambria Math" w:cs="Cambria Math"/>
          <w:i/>
          <w:lang w:val="en-US"/>
        </w:rPr>
        <w:t>t</w:t>
      </w:r>
    </w:p>
    <w:p w:rsidR="00340A25" w:rsidRPr="0004041B" w:rsidRDefault="001D120F" w:rsidP="00340A25">
      <w:pPr>
        <w:rPr>
          <w:rFonts w:ascii="Cambria Math" w:hAnsi="Cambria Math" w:cs="Cambria Math"/>
          <w:i/>
        </w:rPr>
      </w:pPr>
      <m:oMath>
        <m:sSub>
          <m:sSubPr>
            <m:ctrlPr>
              <w:rPr>
                <w:rFonts w:ascii="Cambria Math" w:hAnsi="Cambria Math" w:cs="Cambria Math"/>
                <w:i/>
                <w:lang w:val="en-GB"/>
              </w:rPr>
            </m:ctrlPr>
          </m:sSubPr>
          <m:e>
            <m:r>
              <w:rPr>
                <w:rFonts w:ascii="Cambria Math" w:hAnsi="Cambria Math" w:cs="Cambria Math"/>
                <w:lang w:val="en-GB"/>
              </w:rPr>
              <m:t>TG</m:t>
            </m:r>
          </m:e>
          <m:sub>
            <m:r>
              <w:rPr>
                <w:rFonts w:ascii="Cambria Math" w:hAnsi="Cambria Math" w:cs="Cambria Math"/>
                <w:lang w:val="en-GB"/>
              </w:rPr>
              <m:t>t</m:t>
            </m:r>
          </m:sub>
        </m:sSub>
      </m:oMath>
      <w:r w:rsidR="00340A25" w:rsidRPr="0004041B">
        <w:rPr>
          <w:rFonts w:ascii="Cambria Math" w:hAnsi="Cambria Math" w:cs="Cambria Math"/>
        </w:rPr>
        <w:t xml:space="preserve"> = </w:t>
      </w:r>
      <w:r w:rsidR="0004041B" w:rsidRPr="0004041B">
        <w:rPr>
          <w:rFonts w:ascii="Cambria Math" w:hAnsi="Cambria Math" w:cs="Cambria Math"/>
        </w:rPr>
        <w:t>общ</w:t>
      </w:r>
      <w:r w:rsidR="0004041B">
        <w:rPr>
          <w:rFonts w:ascii="Cambria Math" w:hAnsi="Cambria Math" w:cs="Cambria Math"/>
        </w:rPr>
        <w:t>ая</w:t>
      </w:r>
      <w:r w:rsidR="0004041B" w:rsidRPr="0004041B">
        <w:rPr>
          <w:rFonts w:ascii="Cambria Math" w:hAnsi="Cambria Math" w:cs="Cambria Math"/>
        </w:rPr>
        <w:t xml:space="preserve"> сумм</w:t>
      </w:r>
      <w:r w:rsidR="0004041B">
        <w:rPr>
          <w:rFonts w:ascii="Cambria Math" w:hAnsi="Cambria Math" w:cs="Cambria Math"/>
        </w:rPr>
        <w:t>а</w:t>
      </w:r>
      <w:r w:rsidR="0004041B" w:rsidRPr="0004041B">
        <w:rPr>
          <w:rFonts w:ascii="Cambria Math" w:hAnsi="Cambria Math" w:cs="Cambria Math"/>
        </w:rPr>
        <w:t xml:space="preserve"> государственных расходов</w:t>
      </w:r>
      <w:r w:rsidR="0004041B">
        <w:rPr>
          <w:rFonts w:ascii="Cambria Math" w:hAnsi="Cambria Math" w:cs="Cambria Math"/>
        </w:rPr>
        <w:t xml:space="preserve"> за финансовый год </w:t>
      </w:r>
      <w:r w:rsidR="0004041B" w:rsidRPr="00362A2D">
        <w:rPr>
          <w:rFonts w:ascii="Cambria Math" w:hAnsi="Cambria Math" w:cs="Cambria Math"/>
          <w:i/>
          <w:lang w:val="en-US"/>
        </w:rPr>
        <w:t>t</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9A39FD" w:rsidRPr="00E52DD6" w:rsidRDefault="00E52DD6" w:rsidP="009A39FD">
      <w:r>
        <w:t>См. разделы 3</w:t>
      </w:r>
      <w:r w:rsidRPr="00E52DD6">
        <w:t>.</w:t>
      </w:r>
      <w:r>
        <w:rPr>
          <w:lang w:val="en-US"/>
        </w:rPr>
        <w:t>a</w:t>
      </w:r>
      <w:r w:rsidRPr="00E52DD6">
        <w:t xml:space="preserve"> </w:t>
      </w:r>
      <w:r>
        <w:t xml:space="preserve">и </w:t>
      </w:r>
      <w:r w:rsidRPr="00E52DD6">
        <w:t>4.</w:t>
      </w:r>
      <w:r>
        <w:rPr>
          <w:lang w:val="en-US"/>
        </w:rPr>
        <w:t>c</w:t>
      </w:r>
      <w:r w:rsidRPr="00E52DD6">
        <w:t>.</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9A39FD" w:rsidRDefault="00E52DD6" w:rsidP="009A39FD">
      <w:r>
        <w:t>Н/д</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BD29EC" w:rsidRDefault="00E52DD6" w:rsidP="00E52DD6">
      <w:r w:rsidRPr="00E52DD6">
        <w:t>МВФ планирует полагаться исключительно на официальные данные, предоставленные национальными органами власти с использованием стандартного вопросника по статистике государственных финансов (СГФ), основанного на методологии GFSM 2014. В тех случаях, когда данные по странам недоступны из-за отсутствия отчетности перед Департаментом статистики МВФ, мы планируем провести разъяснительную работу с национальными органами власти в консультации с соответствующими региональными департаментами МВФ и канцеляриями Директора-исполнителя, по мере необходимости, для обеспечения представления отчетности по ключевым данным СГФ. Статистический департамент МВФ не будет рассчитывать оценки недостающих значений в данных по странам.</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9A39FD" w:rsidRDefault="009A39FD" w:rsidP="009A39FD">
      <w:r w:rsidRPr="009A39FD">
        <w:t>Региональные и глобальные агрегаты в настоящее время недоступны для этого показателя.</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EE4B93" w:rsidRDefault="00A9362E" w:rsidP="00EE4B93">
      <w:r>
        <w:rPr>
          <w:rStyle w:val="ezkurwreuab5ozgtqnkl"/>
        </w:rPr>
        <w:t>Основа</w:t>
      </w:r>
      <w:r>
        <w:t xml:space="preserve"> </w:t>
      </w:r>
      <w:r>
        <w:rPr>
          <w:rStyle w:val="ezkurwreuab5ozgtqnkl"/>
        </w:rPr>
        <w:t>для</w:t>
      </w:r>
      <w:r>
        <w:t xml:space="preserve"> </w:t>
      </w:r>
      <w:r>
        <w:rPr>
          <w:rStyle w:val="ezkurwreuab5ozgtqnkl"/>
        </w:rPr>
        <w:t>сбора</w:t>
      </w:r>
      <w:r>
        <w:t xml:space="preserve"> </w:t>
      </w:r>
      <w:r>
        <w:rPr>
          <w:rStyle w:val="ezkurwreuab5ozgtqnkl"/>
        </w:rPr>
        <w:t>данных</w:t>
      </w:r>
      <w:r>
        <w:t xml:space="preserve"> </w:t>
      </w:r>
      <w:r>
        <w:rPr>
          <w:rStyle w:val="ezkurwreuab5ozgtqnkl"/>
        </w:rPr>
        <w:t>основана</w:t>
      </w:r>
      <w:r>
        <w:t xml:space="preserve"> </w:t>
      </w:r>
      <w:r>
        <w:rPr>
          <w:rStyle w:val="ezkurwreuab5ozgtqnkl"/>
        </w:rPr>
        <w:t>на</w:t>
      </w:r>
      <w:r>
        <w:t xml:space="preserve"> </w:t>
      </w:r>
      <w:r>
        <w:rPr>
          <w:rStyle w:val="ezkurwreuab5ozgtqnkl"/>
          <w:lang w:val="en-US"/>
        </w:rPr>
        <w:t>GFSM</w:t>
      </w:r>
      <w:r>
        <w:t xml:space="preserve"> </w:t>
      </w:r>
      <w:r>
        <w:rPr>
          <w:rStyle w:val="ezkurwreuab5ozgtqnkl"/>
        </w:rPr>
        <w:t>2014</w:t>
      </w:r>
      <w:r>
        <w:t xml:space="preserve"> года</w:t>
      </w:r>
      <w:r>
        <w:rPr>
          <w:rStyle w:val="ezkurwreuab5ozgtqnkl"/>
        </w:rPr>
        <w:t>.</w:t>
      </w:r>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B15D63" w:rsidRPr="00A9362E" w:rsidRDefault="00A9362E" w:rsidP="00B15D63">
      <w:r>
        <w:t>См. раздел 4</w:t>
      </w:r>
      <w:r w:rsidRPr="00A9362E">
        <w:t>.</w:t>
      </w:r>
      <w:r>
        <w:rPr>
          <w:lang w:val="en-US"/>
        </w:rPr>
        <w:t>c</w:t>
      </w:r>
      <w:r w:rsidRPr="00A9362E">
        <w:t>.</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E27922" w:rsidRPr="00A71EC6">
        <w:rPr>
          <w:b/>
          <w:color w:val="auto"/>
          <w:sz w:val="24"/>
          <w:szCs w:val="24"/>
          <w:lang w:val="ru-RU"/>
        </w:rPr>
        <w:t>Обеспечение качества</w:t>
      </w:r>
    </w:p>
    <w:p w:rsidR="00434B7C" w:rsidRPr="00A9362E" w:rsidRDefault="00A9362E" w:rsidP="00434B7C">
      <w:r w:rsidRPr="001D4928">
        <w:t>См. раздел 4.</w:t>
      </w:r>
      <w:r w:rsidRPr="00A9362E">
        <w:rPr>
          <w:lang w:val="en-US"/>
        </w:rPr>
        <w:t>c</w:t>
      </w:r>
      <w:r w:rsidRPr="001D4928">
        <w:t>.</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434B7C" w:rsidRPr="00A9362E" w:rsidRDefault="00A9362E" w:rsidP="00434B7C">
      <w:r w:rsidRPr="00A9362E">
        <w:t>См. раздел 4.</w:t>
      </w:r>
      <w:r w:rsidRPr="00A9362E">
        <w:rPr>
          <w:lang w:val="en-US"/>
        </w:rPr>
        <w:t>c</w:t>
      </w:r>
      <w:r w:rsidRPr="00A9362E">
        <w:t>.</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A9362E">
        <w:rPr>
          <w:b/>
          <w:color w:val="auto"/>
          <w:sz w:val="24"/>
          <w:szCs w:val="24"/>
          <w:lang w:val="ru-RU"/>
        </w:rPr>
        <w:t xml:space="preserve">ация </w:t>
      </w:r>
      <w:r w:rsidR="0075371E" w:rsidRPr="00BD29EC">
        <w:rPr>
          <w:b/>
          <w:color w:val="auto"/>
          <w:sz w:val="24"/>
          <w:szCs w:val="24"/>
          <w:lang w:val="ru-RU"/>
        </w:rPr>
        <w:t>данных</w:t>
      </w:r>
    </w:p>
    <w:p w:rsidR="0075371E" w:rsidRPr="00A9362E" w:rsidRDefault="0075371E" w:rsidP="00FE1892">
      <w:pPr>
        <w:rPr>
          <w:b/>
        </w:rPr>
      </w:pPr>
      <w:r w:rsidRPr="00A9362E">
        <w:rPr>
          <w:b/>
        </w:rPr>
        <w:t>Доступность данных:</w:t>
      </w:r>
    </w:p>
    <w:p w:rsidR="0075371E" w:rsidRPr="00A9362E" w:rsidRDefault="0075371E" w:rsidP="00FE1892">
      <w:pPr>
        <w:rPr>
          <w:b/>
        </w:rPr>
      </w:pPr>
      <w:r w:rsidRPr="00A9362E">
        <w:rPr>
          <w:b/>
        </w:rPr>
        <w:lastRenderedPageBreak/>
        <w:t>Временные ряды:</w:t>
      </w:r>
    </w:p>
    <w:p w:rsidR="00A21B67" w:rsidRDefault="00A9362E" w:rsidP="00FE1892">
      <w:r>
        <w:t>2000-2022</w:t>
      </w:r>
    </w:p>
    <w:p w:rsidR="0075371E" w:rsidRPr="00A9362E" w:rsidRDefault="00A9362E" w:rsidP="00FE1892">
      <w:pPr>
        <w:rPr>
          <w:b/>
        </w:rPr>
      </w:pPr>
      <w:r w:rsidRPr="00A9362E">
        <w:rPr>
          <w:b/>
        </w:rPr>
        <w:t>Дезагрегация</w:t>
      </w:r>
      <w:r w:rsidR="0075371E" w:rsidRPr="00A9362E">
        <w:rPr>
          <w:b/>
        </w:rPr>
        <w:t>:</w:t>
      </w:r>
    </w:p>
    <w:p w:rsidR="00A9362E" w:rsidRDefault="00A9362E" w:rsidP="00A9362E">
      <w:pPr>
        <w:spacing w:after="120"/>
      </w:pPr>
      <w:r>
        <w:t>Этот показатель представлен в разбивке по сферам образования, здравоохранения и социальной защиты на основе COFOG.</w:t>
      </w:r>
    </w:p>
    <w:p w:rsidR="00A21B67" w:rsidRDefault="00A9362E" w:rsidP="00A9362E">
      <w:r>
        <w:t>Согласно COFOG, расходы органов государственного управления подразделяются на десять категорий: (a) общие государственные услуги; (b) оборона; (c) общественный порядок и безопасность; (d) экономические вопросы; (e) охрана окружающей среды; (f) жилье и коммунальные услуги; (g) здравоохранение; (h) отдых, культура и религия; (i) образование; и (j) социальная защита.</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6. </w:t>
      </w:r>
      <w:r w:rsidR="0075371E" w:rsidRPr="00BD29EC">
        <w:rPr>
          <w:b/>
          <w:color w:val="auto"/>
          <w:sz w:val="24"/>
          <w:szCs w:val="24"/>
          <w:lang w:val="ru-RU"/>
        </w:rPr>
        <w:t>Сопоставимость / отклонение от международных стандартов</w:t>
      </w:r>
    </w:p>
    <w:p w:rsidR="00A9362E" w:rsidRPr="00A9362E" w:rsidRDefault="00A9362E" w:rsidP="00B61338">
      <w:pPr>
        <w:spacing w:after="120"/>
        <w:rPr>
          <w:b/>
          <w:lang w:eastAsia="en-GB"/>
        </w:rPr>
      </w:pPr>
      <w:r w:rsidRPr="00A9362E">
        <w:rPr>
          <w:b/>
          <w:lang w:eastAsia="en-GB"/>
        </w:rPr>
        <w:t>Источники расхождений:</w:t>
      </w:r>
    </w:p>
    <w:p w:rsidR="00A21B67" w:rsidRDefault="00A9362E" w:rsidP="00A21B67">
      <w:pPr>
        <w:rPr>
          <w:lang w:eastAsia="en-GB"/>
        </w:rPr>
      </w:pPr>
      <w:r w:rsidRPr="00A9362E">
        <w:rPr>
          <w:lang w:eastAsia="en-GB"/>
        </w:rPr>
        <w:t>Статистический департамент МВФ планирует полагаться на официальные национальные данные, представленные национальными органами власти с использованием стандартного ежегодного вопросника СГФ МВФ по данным, который основан на методологии РСГФ 2014.</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B61272">
        <w:rPr>
          <w:rFonts w:eastAsia="Times New Roman" w:cs="Times New Roman"/>
          <w:b/>
          <w:szCs w:val="24"/>
          <w:lang w:eastAsia="en-GB"/>
        </w:rPr>
        <w:t xml:space="preserve">7. </w:t>
      </w:r>
      <w:r>
        <w:rPr>
          <w:rFonts w:eastAsia="Times New Roman" w:cs="Times New Roman"/>
          <w:b/>
          <w:szCs w:val="24"/>
          <w:lang w:eastAsia="en-GB"/>
        </w:rPr>
        <w:t>Ссылки</w:t>
      </w:r>
      <w:r w:rsidRPr="00B61272">
        <w:rPr>
          <w:rFonts w:eastAsia="Times New Roman" w:cs="Times New Roman"/>
          <w:b/>
          <w:szCs w:val="24"/>
          <w:lang w:eastAsia="en-GB"/>
        </w:rPr>
        <w:t xml:space="preserve"> </w:t>
      </w:r>
      <w:r>
        <w:rPr>
          <w:rFonts w:eastAsia="Times New Roman" w:cs="Times New Roman"/>
          <w:b/>
          <w:szCs w:val="24"/>
          <w:lang w:eastAsia="en-GB"/>
        </w:rPr>
        <w:t>и</w:t>
      </w:r>
      <w:r w:rsidRPr="00B61272">
        <w:rPr>
          <w:rFonts w:eastAsia="Times New Roman" w:cs="Times New Roman"/>
          <w:b/>
          <w:szCs w:val="24"/>
          <w:lang w:eastAsia="en-GB"/>
        </w:rPr>
        <w:t xml:space="preserve"> </w:t>
      </w:r>
      <w:r>
        <w:rPr>
          <w:rFonts w:eastAsia="Times New Roman" w:cs="Times New Roman"/>
          <w:b/>
          <w:szCs w:val="24"/>
          <w:lang w:eastAsia="en-GB"/>
        </w:rPr>
        <w:t>документы</w:t>
      </w:r>
    </w:p>
    <w:p w:rsidR="00FE1892" w:rsidRDefault="00B61338" w:rsidP="00A21B67">
      <w:pPr>
        <w:rPr>
          <w:lang w:eastAsia="en-GB"/>
        </w:rPr>
      </w:pPr>
      <w:r w:rsidRPr="00B61338">
        <w:rPr>
          <w:lang w:eastAsia="en-GB"/>
        </w:rPr>
        <w:t>С G</w:t>
      </w:r>
      <w:r>
        <w:rPr>
          <w:lang w:val="en-US" w:eastAsia="en-GB"/>
        </w:rPr>
        <w:t>F</w:t>
      </w:r>
      <w:r w:rsidRPr="00B61338">
        <w:rPr>
          <w:lang w:eastAsia="en-GB"/>
        </w:rPr>
        <w:t xml:space="preserve">SM 2014 можно ознакомиться по адресу </w:t>
      </w:r>
      <w:hyperlink r:id="rId9" w:history="1">
        <w:r w:rsidRPr="00907832">
          <w:rPr>
            <w:rStyle w:val="ac"/>
            <w:lang w:eastAsia="en-GB"/>
          </w:rPr>
          <w:t>http://www.imf.org/external/np/sta/gfsm/</w:t>
        </w:r>
      </w:hyperlink>
      <w:r>
        <w:rPr>
          <w:lang w:eastAsia="en-GB"/>
        </w:rPr>
        <w:t>.</w:t>
      </w:r>
      <w:r w:rsidRPr="00B61338">
        <w:rPr>
          <w:lang w:eastAsia="en-GB"/>
        </w:rPr>
        <w:t xml:space="preserve"> Сери</w:t>
      </w:r>
      <w:r>
        <w:rPr>
          <w:lang w:eastAsia="en-GB"/>
        </w:rPr>
        <w:t>и</w:t>
      </w:r>
      <w:r w:rsidRPr="00B61338">
        <w:rPr>
          <w:lang w:eastAsia="en-GB"/>
        </w:rPr>
        <w:t xml:space="preserve"> видеороликов, посвященных аналитической системе G</w:t>
      </w:r>
      <w:r>
        <w:rPr>
          <w:lang w:val="en-US" w:eastAsia="en-GB"/>
        </w:rPr>
        <w:t>F</w:t>
      </w:r>
      <w:r w:rsidRPr="00B61338">
        <w:rPr>
          <w:lang w:eastAsia="en-GB"/>
        </w:rPr>
        <w:t xml:space="preserve">S, </w:t>
      </w:r>
      <w:proofErr w:type="gramStart"/>
      <w:r w:rsidRPr="00B61338">
        <w:rPr>
          <w:lang w:eastAsia="en-GB"/>
        </w:rPr>
        <w:t>доступна</w:t>
      </w:r>
      <w:proofErr w:type="gramEnd"/>
      <w:r w:rsidRPr="00B61338">
        <w:rPr>
          <w:lang w:eastAsia="en-GB"/>
        </w:rPr>
        <w:t xml:space="preserve"> по адресу: </w:t>
      </w:r>
      <w:hyperlink r:id="rId10" w:history="1">
        <w:proofErr w:type="gramStart"/>
        <w:r w:rsidRPr="00B61338">
          <w:rPr>
            <w:rStyle w:val="ac"/>
            <w:lang w:val="en-GB" w:eastAsia="en-GB"/>
          </w:rPr>
          <w:t>IMF</w:t>
        </w:r>
        <w:r w:rsidRPr="00B61338">
          <w:rPr>
            <w:rStyle w:val="ac"/>
            <w:lang w:eastAsia="en-GB"/>
          </w:rPr>
          <w:t xml:space="preserve"> </w:t>
        </w:r>
        <w:r w:rsidRPr="00B61338">
          <w:rPr>
            <w:rStyle w:val="ac"/>
            <w:lang w:val="en-GB" w:eastAsia="en-GB"/>
          </w:rPr>
          <w:t>Statistics</w:t>
        </w:r>
        <w:r w:rsidRPr="00B61338">
          <w:rPr>
            <w:rStyle w:val="ac"/>
            <w:lang w:eastAsia="en-GB"/>
          </w:rPr>
          <w:t xml:space="preserve"> </w:t>
        </w:r>
        <w:r w:rsidRPr="00B61338">
          <w:rPr>
            <w:rStyle w:val="ac"/>
            <w:lang w:val="en-GB" w:eastAsia="en-GB"/>
          </w:rPr>
          <w:t>E</w:t>
        </w:r>
        <w:r w:rsidRPr="00B61338">
          <w:rPr>
            <w:rStyle w:val="ac"/>
            <w:lang w:eastAsia="en-GB"/>
          </w:rPr>
          <w:t>-</w:t>
        </w:r>
        <w:r w:rsidRPr="00B61338">
          <w:rPr>
            <w:rStyle w:val="ac"/>
            <w:lang w:val="en-GB" w:eastAsia="en-GB"/>
          </w:rPr>
          <w:t>Learning</w:t>
        </w:r>
        <w:r w:rsidRPr="00B61338">
          <w:rPr>
            <w:rStyle w:val="ac"/>
            <w:lang w:eastAsia="en-GB"/>
          </w:rPr>
          <w:t xml:space="preserve"> </w:t>
        </w:r>
        <w:r w:rsidRPr="00B61338">
          <w:rPr>
            <w:rStyle w:val="ac"/>
            <w:lang w:val="en-GB" w:eastAsia="en-GB"/>
          </w:rPr>
          <w:t>Videos</w:t>
        </w:r>
        <w:r w:rsidRPr="00B61338">
          <w:rPr>
            <w:rStyle w:val="ac"/>
            <w:lang w:eastAsia="en-GB"/>
          </w:rPr>
          <w:t xml:space="preserve"> - </w:t>
        </w:r>
        <w:r w:rsidRPr="00B61338">
          <w:rPr>
            <w:rStyle w:val="ac"/>
            <w:lang w:val="en-GB" w:eastAsia="en-GB"/>
          </w:rPr>
          <w:t>YouTube</w:t>
        </w:r>
      </w:hyperlink>
      <w:r w:rsidRPr="00B61338">
        <w:rPr>
          <w:lang w:eastAsia="en-GB"/>
        </w:rPr>
        <w:t>.</w:t>
      </w:r>
      <w:proofErr w:type="gramEnd"/>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Default="001D4928" w:rsidP="00A21B67">
      <w:pPr>
        <w:rPr>
          <w:lang w:eastAsia="en-GB"/>
        </w:rPr>
      </w:pPr>
    </w:p>
    <w:p w:rsidR="001D4928" w:rsidRPr="00BD29EC" w:rsidRDefault="001D4928" w:rsidP="001D4928">
      <w:pPr>
        <w:pBdr>
          <w:top w:val="nil"/>
          <w:left w:val="nil"/>
          <w:bottom w:val="nil"/>
          <w:right w:val="nil"/>
          <w:between w:val="nil"/>
          <w:bar w:val="nil"/>
        </w:pBdr>
        <w:spacing w:after="0"/>
        <w:jc w:val="center"/>
        <w:rPr>
          <w:rFonts w:eastAsia="Arial Unicode MS" w:cs="Times New Roman"/>
          <w:b/>
          <w:szCs w:val="24"/>
          <w:bdr w:val="nil"/>
          <w:lang w:eastAsia="ru-RU"/>
        </w:rPr>
      </w:pPr>
    </w:p>
    <w:p w:rsidR="001D4928" w:rsidRPr="00BD29EC" w:rsidRDefault="001D4928" w:rsidP="001D4928">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1D4928" w:rsidRPr="00BD29EC" w:rsidRDefault="001D4928" w:rsidP="001D4928">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Pr>
          <w:rFonts w:eastAsia="Arial Unicode MS" w:cs="Times New Roman"/>
          <w:b/>
          <w:szCs w:val="24"/>
          <w:bdr w:val="nil"/>
          <w:lang w:eastAsia="ru-RU"/>
        </w:rPr>
        <w:t>1</w:t>
      </w:r>
      <w:r w:rsidRPr="00BD29EC">
        <w:rPr>
          <w:rFonts w:eastAsia="Arial Unicode MS" w:cs="Times New Roman"/>
          <w:b/>
          <w:szCs w:val="24"/>
          <w:bdr w:val="nil"/>
          <w:lang w:eastAsia="ru-RU"/>
        </w:rPr>
        <w:t>)</w:t>
      </w:r>
    </w:p>
    <w:p w:rsidR="001D4928" w:rsidRPr="00BD29EC" w:rsidRDefault="001D4928" w:rsidP="001D4928">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 xml:space="preserve">Информация о показателе </w:t>
      </w:r>
    </w:p>
    <w:p w:rsidR="001D4928" w:rsidRPr="00BD29EC" w:rsidRDefault="001D4928" w:rsidP="001D492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1D4928" w:rsidRPr="00BD29EC" w:rsidRDefault="001D4928" w:rsidP="001D4928">
      <w:pPr>
        <w:pBdr>
          <w:top w:val="nil"/>
          <w:left w:val="nil"/>
          <w:bottom w:val="nil"/>
          <w:right w:val="nil"/>
          <w:between w:val="nil"/>
          <w:bar w:val="nil"/>
        </w:pBdr>
        <w:spacing w:after="0"/>
        <w:rPr>
          <w:rFonts w:eastAsia="Arial Unicode MS" w:cs="Times New Roman"/>
          <w:szCs w:val="24"/>
          <w:bdr w:val="nil"/>
          <w:lang w:eastAsia="ru-RU"/>
        </w:rPr>
      </w:pPr>
      <w:r w:rsidRPr="00BD29EC">
        <w:rPr>
          <w:rFonts w:eastAsia="Arial Unicode MS" w:cs="Times New Roman"/>
          <w:szCs w:val="24"/>
          <w:bdr w:val="nil"/>
          <w:lang w:eastAsia="ru-RU"/>
        </w:rPr>
        <w:t>Цель 1: Повсеместная ликвидация нищеты во всех ее формах</w:t>
      </w:r>
      <w:r>
        <w:rPr>
          <w:rFonts w:eastAsia="Arial Unicode MS" w:cs="Times New Roman"/>
          <w:szCs w:val="24"/>
          <w:bdr w:val="nil"/>
          <w:lang w:eastAsia="ru-RU"/>
        </w:rPr>
        <w:t>.</w:t>
      </w:r>
    </w:p>
    <w:p w:rsidR="001D4928" w:rsidRPr="00BD29EC" w:rsidRDefault="001D4928" w:rsidP="001D492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1D4928" w:rsidRDefault="001D4928" w:rsidP="001D4928">
      <w:pPr>
        <w:pBdr>
          <w:top w:val="nil"/>
          <w:left w:val="nil"/>
          <w:bottom w:val="nil"/>
          <w:right w:val="nil"/>
          <w:between w:val="nil"/>
          <w:bar w:val="nil"/>
        </w:pBdr>
        <w:spacing w:after="0"/>
        <w:rPr>
          <w:rFonts w:cs="Times New Roman"/>
          <w:szCs w:val="24"/>
        </w:rPr>
      </w:pPr>
      <w:r w:rsidRPr="00BD29EC">
        <w:rPr>
          <w:rFonts w:cs="Times New Roman"/>
          <w:szCs w:val="24"/>
        </w:rPr>
        <w:t>1.</w:t>
      </w:r>
      <w:r>
        <w:rPr>
          <w:rFonts w:cs="Times New Roman"/>
          <w:szCs w:val="24"/>
        </w:rPr>
        <w:t>а</w:t>
      </w:r>
      <w:r w:rsidRPr="00BD29EC">
        <w:rPr>
          <w:rFonts w:cs="Times New Roman"/>
          <w:szCs w:val="24"/>
        </w:rPr>
        <w:t xml:space="preserve">.  </w:t>
      </w:r>
      <w:r w:rsidRPr="00090327">
        <w:rPr>
          <w:rFonts w:cs="Times New Roman"/>
          <w:szCs w:val="24"/>
        </w:rPr>
        <w:t xml:space="preserve">Обеспечить мобилизацию значительных ресурсов из самых разных источников, в том числе на основе активизации сотрудничества в целях развития, с </w:t>
      </w:r>
      <w:proofErr w:type="gramStart"/>
      <w:r w:rsidRPr="00090327">
        <w:rPr>
          <w:rFonts w:cs="Times New Roman"/>
          <w:szCs w:val="24"/>
        </w:rPr>
        <w:t>тем</w:t>
      </w:r>
      <w:proofErr w:type="gramEnd"/>
      <w:r w:rsidRPr="00090327">
        <w:rPr>
          <w:rFonts w:cs="Times New Roman"/>
          <w:szCs w:val="24"/>
        </w:rPr>
        <w:t xml:space="preserve"> чтобы предоставить развивающимся странам, особенно наименее развитым странам, достаточные и предсказуемые средства для осуществления программ и стратегий по ликвидации нищеты во всех ее формах</w:t>
      </w:r>
      <w:r>
        <w:rPr>
          <w:rFonts w:cs="Times New Roman"/>
          <w:szCs w:val="24"/>
        </w:rPr>
        <w:t>.</w:t>
      </w:r>
    </w:p>
    <w:p w:rsidR="001D4928" w:rsidRPr="00BD29EC" w:rsidRDefault="001D4928" w:rsidP="001D4928">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bookmarkStart w:id="5" w:name="_GoBack"/>
      <w:bookmarkEnd w:id="5"/>
    </w:p>
    <w:p w:rsidR="001D4928" w:rsidRPr="001D4928" w:rsidRDefault="001D4928" w:rsidP="001D4928">
      <w:pPr>
        <w:pBdr>
          <w:top w:val="nil"/>
          <w:left w:val="nil"/>
          <w:bottom w:val="nil"/>
          <w:right w:val="nil"/>
          <w:between w:val="nil"/>
          <w:bar w:val="nil"/>
        </w:pBdr>
        <w:spacing w:after="0"/>
        <w:rPr>
          <w:rFonts w:cs="Times New Roman"/>
          <w:szCs w:val="24"/>
        </w:rPr>
      </w:pPr>
      <w:r w:rsidRPr="00BD29EC">
        <w:rPr>
          <w:rFonts w:cs="Times New Roman"/>
          <w:szCs w:val="24"/>
        </w:rPr>
        <w:t>Показатель 1.</w:t>
      </w:r>
      <w:r>
        <w:rPr>
          <w:rFonts w:cs="Times New Roman"/>
          <w:szCs w:val="24"/>
        </w:rPr>
        <w:t>а</w:t>
      </w:r>
      <w:r w:rsidRPr="00BD29EC">
        <w:rPr>
          <w:rFonts w:cs="Times New Roman"/>
          <w:szCs w:val="24"/>
        </w:rPr>
        <w:t>.</w:t>
      </w:r>
      <w:r>
        <w:rPr>
          <w:rFonts w:cs="Times New Roman"/>
          <w:szCs w:val="24"/>
        </w:rPr>
        <w:t>2</w:t>
      </w:r>
      <w:r w:rsidRPr="00BD29EC">
        <w:rPr>
          <w:rFonts w:cs="Times New Roman"/>
          <w:szCs w:val="24"/>
        </w:rPr>
        <w:t xml:space="preserve"> </w:t>
      </w:r>
      <w:r w:rsidRPr="00B61272">
        <w:rPr>
          <w:rFonts w:cs="Times New Roman"/>
          <w:szCs w:val="24"/>
        </w:rPr>
        <w:t>Доля расходов на основные услуги (образование, здравоохранение и социальную защиту) в общей сумме государственных расходов</w:t>
      </w:r>
      <w:r>
        <w:rPr>
          <w:rFonts w:cs="Times New Roman"/>
          <w:szCs w:val="24"/>
        </w:rPr>
        <w:t>.</w:t>
      </w:r>
      <w:r>
        <w:rPr>
          <w:rFonts w:cs="Times New Roman"/>
          <w:szCs w:val="24"/>
        </w:rPr>
        <w:t xml:space="preserve"> </w:t>
      </w:r>
    </w:p>
    <w:p w:rsidR="001D4928" w:rsidRDefault="001D4928" w:rsidP="001D492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Pr>
          <w:rFonts w:eastAsia="Arial Unicode MS" w:cs="Times New Roman"/>
          <w:b/>
          <w:szCs w:val="24"/>
          <w:bdr w:val="nil"/>
          <w:lang w:eastAsia="ru-RU"/>
        </w:rPr>
        <w:t>Ряд</w:t>
      </w:r>
    </w:p>
    <w:p w:rsidR="001D4928" w:rsidRPr="001D4928" w:rsidRDefault="001D4928" w:rsidP="001D4928">
      <w:pPr>
        <w:pBdr>
          <w:top w:val="nil"/>
          <w:left w:val="nil"/>
          <w:bottom w:val="nil"/>
          <w:right w:val="nil"/>
          <w:between w:val="nil"/>
          <w:bar w:val="nil"/>
        </w:pBdr>
        <w:tabs>
          <w:tab w:val="left" w:pos="284"/>
        </w:tabs>
        <w:spacing w:after="0"/>
        <w:rPr>
          <w:rFonts w:eastAsia="Arial Unicode MS" w:cs="Times New Roman"/>
          <w:szCs w:val="24"/>
          <w:bdr w:val="nil"/>
          <w:lang w:eastAsia="ru-RU"/>
        </w:rPr>
      </w:pPr>
      <w:r>
        <w:rPr>
          <w:rFonts w:eastAsia="Arial Unicode MS" w:cs="Times New Roman"/>
          <w:szCs w:val="24"/>
          <w:bdr w:val="nil"/>
          <w:lang w:eastAsia="ru-RU"/>
        </w:rPr>
        <w:t xml:space="preserve">SD_XPD_ESED – </w:t>
      </w:r>
      <w:r w:rsidRPr="001D4928">
        <w:rPr>
          <w:rFonts w:eastAsia="Arial Unicode MS" w:cs="Times New Roman"/>
          <w:szCs w:val="24"/>
          <w:bdr w:val="nil"/>
          <w:lang w:eastAsia="ru-RU"/>
        </w:rPr>
        <w:t>До</w:t>
      </w:r>
      <w:r>
        <w:rPr>
          <w:rFonts w:eastAsia="Arial Unicode MS" w:cs="Times New Roman"/>
          <w:szCs w:val="24"/>
          <w:bdr w:val="nil"/>
          <w:lang w:eastAsia="ru-RU"/>
        </w:rPr>
        <w:t xml:space="preserve">ля расходов на основные услуги </w:t>
      </w:r>
      <w:r w:rsidRPr="001D4928">
        <w:rPr>
          <w:rFonts w:eastAsia="Arial Unicode MS" w:cs="Times New Roman"/>
          <w:szCs w:val="24"/>
          <w:bdr w:val="nil"/>
          <w:lang w:eastAsia="ru-RU"/>
        </w:rPr>
        <w:t>в общей сумме государственных расходов</w:t>
      </w:r>
      <w:r>
        <w:rPr>
          <w:rFonts w:eastAsia="Arial Unicode MS" w:cs="Times New Roman"/>
          <w:szCs w:val="24"/>
          <w:bdr w:val="nil"/>
          <w:lang w:eastAsia="ru-RU"/>
        </w:rPr>
        <w:t xml:space="preserve">, на образование </w:t>
      </w:r>
      <w:r w:rsidRPr="001D4928">
        <w:rPr>
          <w:rFonts w:eastAsia="Arial Unicode MS" w:cs="Times New Roman"/>
          <w:szCs w:val="24"/>
          <w:bdr w:val="nil"/>
          <w:lang w:eastAsia="ru-RU"/>
        </w:rPr>
        <w:t>[</w:t>
      </w:r>
      <w:r>
        <w:rPr>
          <w:rFonts w:eastAsia="Arial Unicode MS" w:cs="Times New Roman"/>
          <w:szCs w:val="24"/>
          <w:bdr w:val="nil"/>
          <w:lang w:eastAsia="ru-RU"/>
        </w:rPr>
        <w:t>Методология ИСЮ</w:t>
      </w:r>
      <w:r w:rsidRPr="001D4928">
        <w:rPr>
          <w:rFonts w:eastAsia="Arial Unicode MS" w:cs="Times New Roman"/>
          <w:szCs w:val="24"/>
          <w:bdr w:val="nil"/>
          <w:lang w:eastAsia="ru-RU"/>
        </w:rPr>
        <w:t>] [1.a.2]</w:t>
      </w:r>
    </w:p>
    <w:p w:rsidR="001D4928" w:rsidRPr="00BD29EC" w:rsidRDefault="001D4928" w:rsidP="001D492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1D4928" w:rsidRPr="001D4928" w:rsidRDefault="001D4928" w:rsidP="001D4928">
      <w:pPr>
        <w:pBdr>
          <w:top w:val="nil"/>
          <w:left w:val="nil"/>
          <w:bottom w:val="nil"/>
          <w:right w:val="nil"/>
          <w:between w:val="nil"/>
          <w:bar w:val="nil"/>
        </w:pBdr>
        <w:tabs>
          <w:tab w:val="left" w:pos="284"/>
        </w:tabs>
        <w:spacing w:after="0"/>
        <w:rPr>
          <w:rFonts w:eastAsia="Arial Unicode MS" w:cs="Times New Roman"/>
          <w:szCs w:val="24"/>
          <w:bdr w:val="nil"/>
          <w:lang w:eastAsia="ru-RU"/>
        </w:rPr>
      </w:pPr>
      <w:r w:rsidRPr="001D4928">
        <w:rPr>
          <w:rFonts w:eastAsia="Arial Unicode MS" w:cs="Times New Roman"/>
          <w:szCs w:val="24"/>
          <w:bdr w:val="nil"/>
          <w:lang w:eastAsia="ru-RU"/>
        </w:rPr>
        <w:t>28.06.2024</w:t>
      </w:r>
    </w:p>
    <w:p w:rsidR="001D4928" w:rsidRDefault="001D4928" w:rsidP="001D492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1D4928" w:rsidRPr="001D4928" w:rsidRDefault="001D4928" w:rsidP="001D4928">
      <w:pPr>
        <w:spacing w:after="120"/>
        <w:rPr>
          <w:bdr w:val="nil"/>
          <w:lang w:val="en-US" w:eastAsia="ru-RU"/>
        </w:rPr>
      </w:pPr>
      <w:r w:rsidRPr="001D4928">
        <w:rPr>
          <w:bdr w:val="nil"/>
          <w:lang w:val="en-US" w:eastAsia="ru-RU"/>
        </w:rPr>
        <w:t>4.5.3, 4.5.4, 4.5.5, 4.5.6, 4.b.1</w:t>
      </w:r>
    </w:p>
    <w:p w:rsidR="001D4928" w:rsidRPr="00BD29EC" w:rsidRDefault="001D4928" w:rsidP="001D4928">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ответственные за глобальный мониторинг</w:t>
      </w:r>
    </w:p>
    <w:p w:rsidR="001D4928" w:rsidRPr="00BD29EC" w:rsidRDefault="001D4928" w:rsidP="001D4928">
      <w:r w:rsidRPr="004B1138">
        <w:t>Статистический институт ЮНЕСКО (ЮНЕСКО-И</w:t>
      </w:r>
      <w:r w:rsidR="00FB6036">
        <w:rPr>
          <w:lang w:val="en-US"/>
        </w:rPr>
        <w:t>С</w:t>
      </w:r>
      <w:r w:rsidRPr="004B1138">
        <w:t>Ю)</w:t>
      </w:r>
    </w:p>
    <w:p w:rsidR="001D4928" w:rsidRPr="00BD29EC" w:rsidRDefault="001D4928" w:rsidP="001D4928">
      <w:pPr>
        <w:pStyle w:val="MHeader"/>
        <w:rPr>
          <w:b/>
          <w:color w:val="auto"/>
          <w:sz w:val="24"/>
          <w:szCs w:val="24"/>
          <w:lang w:val="ru-RU"/>
        </w:rPr>
      </w:pPr>
      <w:r w:rsidRPr="00BD29EC">
        <w:rPr>
          <w:b/>
          <w:color w:val="auto"/>
          <w:sz w:val="24"/>
          <w:szCs w:val="24"/>
          <w:lang w:val="ru-RU"/>
        </w:rPr>
        <w:t xml:space="preserve">1. Данные представлены </w:t>
      </w:r>
    </w:p>
    <w:p w:rsidR="001D4928" w:rsidRPr="00BD29EC" w:rsidRDefault="001D4928" w:rsidP="001D4928">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1D4928" w:rsidRPr="00BD29EC" w:rsidRDefault="001D4928" w:rsidP="001D4928">
      <w:r w:rsidRPr="004B1138">
        <w:t>Статисти</w:t>
      </w:r>
      <w:r>
        <w:t>ческий институт ЮНЕСКО (ЮНЕСКО-</w:t>
      </w:r>
      <w:r w:rsidRPr="004B1138">
        <w:t>И</w:t>
      </w:r>
      <w:r w:rsidR="00FB6036">
        <w:rPr>
          <w:lang w:val="en-US"/>
        </w:rPr>
        <w:t>С</w:t>
      </w:r>
      <w:r w:rsidRPr="004B1138">
        <w:t>Ю)</w:t>
      </w:r>
    </w:p>
    <w:p w:rsidR="001D4928" w:rsidRPr="00BD29EC" w:rsidRDefault="001D4928" w:rsidP="001D4928">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1D4928" w:rsidRDefault="001D4928" w:rsidP="001D4928">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DD6819" w:rsidRPr="00DD6819" w:rsidTr="00DD6819">
        <w:tc>
          <w:tcPr>
            <w:tcW w:w="9356" w:type="dxa"/>
            <w:tcBorders>
              <w:top w:val="double" w:sz="4" w:space="0" w:color="auto"/>
              <w:left w:val="double" w:sz="4" w:space="0" w:color="auto"/>
              <w:bottom w:val="double" w:sz="4" w:space="0" w:color="auto"/>
              <w:right w:val="double" w:sz="4" w:space="0" w:color="auto"/>
            </w:tcBorders>
            <w:hideMark/>
          </w:tcPr>
          <w:p w:rsidR="00DD6819" w:rsidRPr="00DD6819" w:rsidRDefault="00DD6819">
            <w:pPr>
              <w:pStyle w:val="MText"/>
              <w:rPr>
                <w:rStyle w:val="af4"/>
                <w:b w:val="0"/>
                <w:bCs w:val="0"/>
                <w:color w:val="000000" w:themeColor="text1"/>
                <w:sz w:val="26"/>
                <w:szCs w:val="36"/>
                <w:lang w:val="ru-RU"/>
              </w:rPr>
            </w:pPr>
            <w:r w:rsidRPr="00DD6819">
              <w:rPr>
                <w:rStyle w:val="af4"/>
                <w:b w:val="0"/>
                <w:color w:val="000000" w:themeColor="text1"/>
                <w:lang w:val="ru-RU"/>
              </w:rPr>
              <w:t xml:space="preserve">В соответствии с решением </w:t>
            </w:r>
            <w:proofErr w:type="spellStart"/>
            <w:r w:rsidRPr="00DD6819">
              <w:rPr>
                <w:rStyle w:val="af4"/>
                <w:b w:val="0"/>
                <w:color w:val="000000" w:themeColor="text1"/>
                <w:lang w:val="ru-RU"/>
              </w:rPr>
              <w:t>Межучрежденческой</w:t>
            </w:r>
            <w:proofErr w:type="spellEnd"/>
            <w:r w:rsidRPr="00DD6819">
              <w:rPr>
                <w:rStyle w:val="af4"/>
                <w:b w:val="0"/>
                <w:color w:val="000000" w:themeColor="text1"/>
                <w:lang w:val="ru-RU"/>
              </w:rPr>
              <w:t xml:space="preserve"> группы экспертов по показателям достижения ЦУР (</w:t>
            </w:r>
            <w:r w:rsidRPr="00DD6819">
              <w:rPr>
                <w:rStyle w:val="af4"/>
                <w:b w:val="0"/>
                <w:color w:val="000000" w:themeColor="text1"/>
              </w:rPr>
              <w:t>IAEG</w:t>
            </w:r>
            <w:r w:rsidRPr="00DD6819">
              <w:rPr>
                <w:rStyle w:val="af4"/>
                <w:b w:val="0"/>
                <w:color w:val="000000" w:themeColor="text1"/>
                <w:lang w:val="ru-RU"/>
              </w:rPr>
              <w:t>-</w:t>
            </w:r>
            <w:r w:rsidRPr="00DD6819">
              <w:rPr>
                <w:rStyle w:val="af4"/>
                <w:b w:val="0"/>
                <w:color w:val="000000" w:themeColor="text1"/>
              </w:rPr>
              <w:t>SDGs</w:t>
            </w:r>
            <w:r w:rsidRPr="00DD6819">
              <w:rPr>
                <w:rStyle w:val="af4"/>
                <w:b w:val="0"/>
                <w:color w:val="000000" w:themeColor="text1"/>
                <w:lang w:val="ru-RU"/>
              </w:rPr>
              <w:t xml:space="preserve">), данные </w:t>
            </w:r>
            <w:r w:rsidRPr="00DD6819">
              <w:rPr>
                <w:rStyle w:val="af4"/>
                <w:color w:val="000000" w:themeColor="text1"/>
                <w:lang w:val="ru-RU"/>
              </w:rPr>
              <w:t>только по образовательному компоненту</w:t>
            </w:r>
            <w:r w:rsidRPr="00DD6819">
              <w:rPr>
                <w:rStyle w:val="af4"/>
                <w:b w:val="0"/>
                <w:color w:val="000000" w:themeColor="text1"/>
                <w:lang w:val="ru-RU"/>
              </w:rPr>
              <w:t xml:space="preserve"> показателя 1.</w:t>
            </w:r>
            <w:r w:rsidRPr="00DD6819">
              <w:rPr>
                <w:rStyle w:val="af4"/>
                <w:b w:val="0"/>
                <w:color w:val="000000" w:themeColor="text1"/>
              </w:rPr>
              <w:t>a</w:t>
            </w:r>
            <w:r w:rsidRPr="00DD6819">
              <w:rPr>
                <w:rStyle w:val="af4"/>
                <w:b w:val="0"/>
                <w:color w:val="000000" w:themeColor="text1"/>
                <w:lang w:val="ru-RU"/>
              </w:rPr>
              <w:t>.2 предоставляются двумя учрежде</w:t>
            </w:r>
            <w:r w:rsidR="00FB6036">
              <w:rPr>
                <w:rStyle w:val="af4"/>
                <w:b w:val="0"/>
                <w:color w:val="000000" w:themeColor="text1"/>
                <w:lang w:val="ru-RU"/>
              </w:rPr>
              <w:t>ниями-кураторами (МВФ и ЮНЕСКО-</w:t>
            </w:r>
            <w:r w:rsidRPr="00DD6819">
              <w:rPr>
                <w:rStyle w:val="af4"/>
                <w:b w:val="0"/>
                <w:color w:val="000000" w:themeColor="text1"/>
                <w:lang w:val="ru-RU"/>
              </w:rPr>
              <w:t>И</w:t>
            </w:r>
            <w:r w:rsidR="00FB6036">
              <w:rPr>
                <w:rStyle w:val="af4"/>
                <w:b w:val="0"/>
                <w:color w:val="000000" w:themeColor="text1"/>
                <w:lang w:val="ru-RU"/>
              </w:rPr>
              <w:t>С</w:t>
            </w:r>
            <w:r w:rsidRPr="00DD6819">
              <w:rPr>
                <w:rStyle w:val="af4"/>
                <w:b w:val="0"/>
                <w:color w:val="000000" w:themeColor="text1"/>
                <w:lang w:val="ru-RU"/>
              </w:rPr>
              <w:t xml:space="preserve">Ю) для обеспечения максимального охвата стран. Таким образом, глобальная база данных по показателям ЦУР включает в себя два отдельных ряда данных для компонента образования, предоставляемых этими разными поставщиками данных (соучредителями). Каждый поставщик использует уникальные методы сбора и расчета данных. Следовательно, при сравнении наборов данных могут возникнуть расхождения: </w:t>
            </w:r>
            <w:r w:rsidRPr="00DD6819">
              <w:rPr>
                <w:rStyle w:val="af4"/>
                <w:b w:val="0"/>
                <w:color w:val="000000" w:themeColor="text1"/>
              </w:rPr>
              <w:t>SG</w:t>
            </w:r>
            <w:r w:rsidRPr="00DD6819">
              <w:rPr>
                <w:rStyle w:val="af4"/>
                <w:b w:val="0"/>
                <w:color w:val="000000" w:themeColor="text1"/>
                <w:lang w:val="ru-RU"/>
              </w:rPr>
              <w:t>_</w:t>
            </w:r>
            <w:r w:rsidRPr="00DD6819">
              <w:rPr>
                <w:rStyle w:val="af4"/>
                <w:b w:val="0"/>
                <w:color w:val="000000" w:themeColor="text1"/>
              </w:rPr>
              <w:t>XPD</w:t>
            </w:r>
            <w:r w:rsidRPr="00DD6819">
              <w:rPr>
                <w:rStyle w:val="af4"/>
                <w:b w:val="0"/>
                <w:color w:val="000000" w:themeColor="text1"/>
                <w:lang w:val="ru-RU"/>
              </w:rPr>
              <w:t>_</w:t>
            </w:r>
            <w:r w:rsidRPr="00DD6819">
              <w:rPr>
                <w:rStyle w:val="af4"/>
                <w:b w:val="0"/>
                <w:color w:val="000000" w:themeColor="text1"/>
              </w:rPr>
              <w:t>EDUC</w:t>
            </w:r>
            <w:r w:rsidRPr="00DD6819">
              <w:rPr>
                <w:rStyle w:val="af4"/>
                <w:b w:val="0"/>
                <w:color w:val="000000" w:themeColor="text1"/>
                <w:lang w:val="ru-RU"/>
              </w:rPr>
              <w:t xml:space="preserve"> (предоставлен МВФ как часть набора, содержащего все компоненты показателя 1.</w:t>
            </w:r>
            <w:r w:rsidRPr="00DD6819">
              <w:rPr>
                <w:rStyle w:val="af4"/>
                <w:b w:val="0"/>
                <w:color w:val="000000" w:themeColor="text1"/>
              </w:rPr>
              <w:t>a</w:t>
            </w:r>
            <w:r w:rsidRPr="00DD6819">
              <w:rPr>
                <w:rStyle w:val="af4"/>
                <w:b w:val="0"/>
                <w:color w:val="000000" w:themeColor="text1"/>
                <w:lang w:val="ru-RU"/>
              </w:rPr>
              <w:t xml:space="preserve">.2 и итоговый показатель) и </w:t>
            </w:r>
            <w:r w:rsidRPr="00DD6819">
              <w:rPr>
                <w:rStyle w:val="af4"/>
                <w:b w:val="0"/>
                <w:color w:val="000000" w:themeColor="text1"/>
              </w:rPr>
              <w:t>SD</w:t>
            </w:r>
            <w:r w:rsidRPr="00DD6819">
              <w:rPr>
                <w:rStyle w:val="af4"/>
                <w:b w:val="0"/>
                <w:color w:val="000000" w:themeColor="text1"/>
                <w:lang w:val="ru-RU"/>
              </w:rPr>
              <w:t>_</w:t>
            </w:r>
            <w:r w:rsidRPr="00DD6819">
              <w:rPr>
                <w:rStyle w:val="af4"/>
                <w:b w:val="0"/>
                <w:color w:val="000000" w:themeColor="text1"/>
              </w:rPr>
              <w:t>XPD</w:t>
            </w:r>
            <w:r w:rsidRPr="00DD6819">
              <w:rPr>
                <w:rStyle w:val="af4"/>
                <w:b w:val="0"/>
                <w:color w:val="000000" w:themeColor="text1"/>
                <w:lang w:val="ru-RU"/>
              </w:rPr>
              <w:t>_</w:t>
            </w:r>
            <w:r w:rsidRPr="00DD6819">
              <w:rPr>
                <w:rStyle w:val="af4"/>
                <w:b w:val="0"/>
                <w:color w:val="000000" w:themeColor="text1"/>
              </w:rPr>
              <w:t>ESED</w:t>
            </w:r>
            <w:r w:rsidR="00FB6036">
              <w:rPr>
                <w:rStyle w:val="af4"/>
                <w:b w:val="0"/>
                <w:color w:val="000000" w:themeColor="text1"/>
                <w:lang w:val="ru-RU"/>
              </w:rPr>
              <w:t xml:space="preserve"> (предоставлен ЮНЕСКО-</w:t>
            </w:r>
            <w:r w:rsidRPr="00DD6819">
              <w:rPr>
                <w:rStyle w:val="af4"/>
                <w:b w:val="0"/>
                <w:color w:val="000000" w:themeColor="text1"/>
                <w:lang w:val="ru-RU"/>
              </w:rPr>
              <w:t>И</w:t>
            </w:r>
            <w:r w:rsidR="00FB6036">
              <w:rPr>
                <w:rStyle w:val="af4"/>
                <w:b w:val="0"/>
                <w:color w:val="000000" w:themeColor="text1"/>
                <w:lang w:val="ru-RU"/>
              </w:rPr>
              <w:t>С</w:t>
            </w:r>
            <w:r w:rsidRPr="00DD6819">
              <w:rPr>
                <w:rStyle w:val="af4"/>
                <w:b w:val="0"/>
                <w:color w:val="000000" w:themeColor="text1"/>
                <w:lang w:val="ru-RU"/>
              </w:rPr>
              <w:t>Ю только для компонента образования). Чтобы получить представление о методологиях, используемых каждым поставщиком, пожалуйста, ознакомьтесь с дополнительным файлом метаданных, связанным с показателем 1.</w:t>
            </w:r>
            <w:r w:rsidRPr="00DD6819">
              <w:rPr>
                <w:rStyle w:val="af4"/>
                <w:b w:val="0"/>
                <w:color w:val="000000" w:themeColor="text1"/>
              </w:rPr>
              <w:t>a</w:t>
            </w:r>
            <w:r w:rsidRPr="00DD6819">
              <w:rPr>
                <w:rStyle w:val="af4"/>
                <w:b w:val="0"/>
                <w:color w:val="000000" w:themeColor="text1"/>
                <w:lang w:val="ru-RU"/>
              </w:rPr>
              <w:t>.2.</w:t>
            </w:r>
          </w:p>
        </w:tc>
      </w:tr>
    </w:tbl>
    <w:p w:rsidR="00DD6819" w:rsidRDefault="00DD6819" w:rsidP="001D4928">
      <w:pPr>
        <w:rPr>
          <w:b/>
          <w:lang w:val="en-US"/>
        </w:rPr>
      </w:pPr>
    </w:p>
    <w:p w:rsidR="00DD6819" w:rsidRPr="00DD6819" w:rsidRDefault="00DD6819" w:rsidP="001D4928">
      <w:pPr>
        <w:rPr>
          <w:b/>
          <w:lang w:val="en-US"/>
        </w:rPr>
      </w:pPr>
    </w:p>
    <w:p w:rsidR="001D4928" w:rsidRPr="004B1138" w:rsidRDefault="001D4928" w:rsidP="001D4928">
      <w:pPr>
        <w:rPr>
          <w:b/>
        </w:rPr>
      </w:pPr>
      <w:r w:rsidRPr="004B1138">
        <w:rPr>
          <w:b/>
        </w:rPr>
        <w:lastRenderedPageBreak/>
        <w:t>Определение:</w:t>
      </w:r>
    </w:p>
    <w:p w:rsidR="001D4928" w:rsidRPr="004B1138" w:rsidRDefault="001D4928" w:rsidP="001D4928">
      <w:r w:rsidRPr="004B1138">
        <w:t>Общие (местные, региональные и центральные) государственные расходы на образование (текущие, капитальные и трансферты), выраженные в процентах от общих государственных расходов во всех секторах (включая здравоохранение, обра</w:t>
      </w:r>
      <w:r w:rsidR="00C10554">
        <w:t>зование, социальные услуги и т.</w:t>
      </w:r>
      <w:r w:rsidRPr="004B1138">
        <w:t>д.). Он включает расходы, финансируемые за счет трансфертов из международных источников правительству.</w:t>
      </w:r>
    </w:p>
    <w:p w:rsidR="001D4928" w:rsidRPr="004B1138" w:rsidRDefault="001D4928" w:rsidP="001D4928">
      <w:pPr>
        <w:rPr>
          <w:b/>
        </w:rPr>
      </w:pPr>
      <w:r w:rsidRPr="004B1138">
        <w:rPr>
          <w:b/>
        </w:rPr>
        <w:t>Понятия:</w:t>
      </w:r>
    </w:p>
    <w:p w:rsidR="001D4928" w:rsidRDefault="001D4928" w:rsidP="001D4928">
      <w:r w:rsidRPr="004B1138">
        <w:t xml:space="preserve">Государственные расходы на образование охватывают образовательные расходы всех уровней власти (местных, региональных, центральных) на систему формального образования, от дошкольного до высшего образования, как в государственных, так и в частных учебных и </w:t>
      </w:r>
      <w:proofErr w:type="spellStart"/>
      <w:r w:rsidRPr="004B1138">
        <w:t>неучебных</w:t>
      </w:r>
      <w:proofErr w:type="spellEnd"/>
      <w:r w:rsidRPr="004B1138">
        <w:t xml:space="preserve"> учреждениях в пределах границ страны.</w:t>
      </w:r>
    </w:p>
    <w:p w:rsidR="001D4928" w:rsidRPr="00DA19D7" w:rsidRDefault="001D4928" w:rsidP="001D4928">
      <w:r w:rsidRPr="004B1138">
        <w:t>Расходы на образование включают расходы на основные образовательные товары и услуги, такие как преподавательский состав, школьные здания или школьные учебники и учебные материалы, а также второстепенные образовательные товары и услуги, такие как вспомогательные услуги, общее управление и другие виды деятельности.</w:t>
      </w:r>
    </w:p>
    <w:p w:rsidR="001D4928" w:rsidRPr="00BD29EC" w:rsidRDefault="001D4928" w:rsidP="001D4928">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1D4928" w:rsidRPr="00BD29EC" w:rsidRDefault="001D4928" w:rsidP="001D4928">
      <w:r w:rsidRPr="00D448FB">
        <w:t>Процент. Этот показатель представляет собой общие государственные расходы на образование, выраженные в процентах от общих государственных расходов во всех секторах.</w:t>
      </w:r>
    </w:p>
    <w:p w:rsidR="001D4928" w:rsidRPr="00BD29EC" w:rsidRDefault="001D4928" w:rsidP="001D4928">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1D4928" w:rsidRDefault="00C10554" w:rsidP="001D4928">
      <w:pPr>
        <w:pStyle w:val="MText"/>
        <w:rPr>
          <w:color w:val="auto"/>
          <w:sz w:val="24"/>
          <w:szCs w:val="24"/>
          <w:lang w:val="en-US"/>
        </w:rPr>
      </w:pPr>
      <w:r w:rsidRPr="00C10554">
        <w:rPr>
          <w:color w:val="auto"/>
          <w:sz w:val="24"/>
          <w:szCs w:val="24"/>
          <w:lang w:val="ru-RU"/>
        </w:rPr>
        <w:t xml:space="preserve">Система формального образования включает уровни образования, определенные в пересмотренной в 2011 году </w:t>
      </w:r>
      <w:r w:rsidRPr="00C10554">
        <w:rPr>
          <w:i/>
          <w:color w:val="auto"/>
          <w:sz w:val="24"/>
          <w:szCs w:val="24"/>
          <w:lang w:val="ru-RU"/>
        </w:rPr>
        <w:t>Международной стандартной классификации образования (ISCED 2011)</w:t>
      </w:r>
      <w:r w:rsidRPr="00C10554">
        <w:rPr>
          <w:color w:val="auto"/>
          <w:sz w:val="24"/>
          <w:szCs w:val="24"/>
          <w:lang w:val="ru-RU"/>
        </w:rPr>
        <w:t>.</w:t>
      </w:r>
    </w:p>
    <w:p w:rsidR="00C10554" w:rsidRPr="00C10554" w:rsidRDefault="00C10554" w:rsidP="001D4928">
      <w:pPr>
        <w:pStyle w:val="MText"/>
        <w:rPr>
          <w:color w:val="auto"/>
          <w:sz w:val="24"/>
          <w:szCs w:val="24"/>
          <w:lang w:val="en-US"/>
        </w:rPr>
      </w:pPr>
    </w:p>
    <w:p w:rsidR="001D4928" w:rsidRPr="00BD29EC" w:rsidRDefault="001D4928" w:rsidP="001D4928">
      <w:pPr>
        <w:pStyle w:val="MHeader"/>
        <w:rPr>
          <w:b/>
          <w:color w:val="auto"/>
          <w:sz w:val="24"/>
          <w:szCs w:val="24"/>
          <w:lang w:val="ru-RU"/>
        </w:rPr>
      </w:pPr>
      <w:r w:rsidRPr="00BD29EC">
        <w:rPr>
          <w:b/>
          <w:color w:val="auto"/>
          <w:sz w:val="24"/>
          <w:szCs w:val="24"/>
          <w:lang w:val="ru-RU"/>
        </w:rPr>
        <w:t>3. Тип источника данных и метод сбора данных</w:t>
      </w:r>
    </w:p>
    <w:p w:rsidR="001D4928" w:rsidRDefault="001D4928" w:rsidP="001D4928">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AB7F96" w:rsidRDefault="00AB7F96" w:rsidP="001D4928">
      <w:pPr>
        <w:pStyle w:val="MHeader2"/>
        <w:rPr>
          <w:color w:val="auto"/>
          <w:sz w:val="24"/>
          <w:szCs w:val="24"/>
          <w:lang w:val="ru-RU"/>
        </w:rPr>
      </w:pPr>
      <w:r w:rsidRPr="00AB7F96">
        <w:rPr>
          <w:color w:val="auto"/>
          <w:sz w:val="24"/>
          <w:szCs w:val="24"/>
          <w:lang w:val="ru-RU"/>
        </w:rPr>
        <w:t>Данные о государственных расходах берутся из государственных бюджетных документов, финансовых отчетов и официальной статистики, предоставляемых государственными учреждениями, ответственными за финансы и составление бюджета.</w:t>
      </w:r>
    </w:p>
    <w:p w:rsidR="00AB7F96" w:rsidRPr="00AB7F96" w:rsidRDefault="00AB7F96" w:rsidP="001D4928">
      <w:pPr>
        <w:pStyle w:val="MHeader2"/>
        <w:rPr>
          <w:color w:val="auto"/>
          <w:sz w:val="24"/>
          <w:szCs w:val="24"/>
          <w:lang w:val="ru-RU"/>
        </w:rPr>
      </w:pPr>
    </w:p>
    <w:p w:rsidR="001D4928" w:rsidRDefault="001D4928" w:rsidP="001D4928">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AB7F96" w:rsidRPr="00D448FB" w:rsidRDefault="00AB7F96" w:rsidP="00AB7F96">
      <w:r>
        <w:t>а</w:t>
      </w:r>
      <w:r w:rsidRPr="00AB7F96">
        <w:t xml:space="preserve"> </w:t>
      </w:r>
      <w:r w:rsidRPr="00D448FB">
        <w:t>Источник данных зависит от страны в зависимости от доступности:</w:t>
      </w:r>
    </w:p>
    <w:p w:rsidR="00AB7F96" w:rsidRPr="00C10554" w:rsidRDefault="00AB7F96" w:rsidP="00AB7F96">
      <w:pPr>
        <w:pStyle w:val="ab"/>
        <w:numPr>
          <w:ilvl w:val="0"/>
          <w:numId w:val="6"/>
        </w:numPr>
      </w:pPr>
      <w:r>
        <w:t xml:space="preserve">Исследование </w:t>
      </w:r>
      <w:r w:rsidRPr="00C10554">
        <w:t>И</w:t>
      </w:r>
      <w:r>
        <w:t>С</w:t>
      </w:r>
      <w:r w:rsidRPr="00C10554">
        <w:t xml:space="preserve">Ю по формальному образованию: </w:t>
      </w:r>
    </w:p>
    <w:p w:rsidR="00AB7F96" w:rsidRPr="00C10554" w:rsidRDefault="00AB7F96" w:rsidP="00AB7F96">
      <w:pPr>
        <w:pStyle w:val="ab"/>
        <w:numPr>
          <w:ilvl w:val="1"/>
          <w:numId w:val="6"/>
        </w:numPr>
      </w:pPr>
      <w:r w:rsidRPr="00C10554">
        <w:t>Числитель: данные, представленные странами в отв</w:t>
      </w:r>
      <w:r>
        <w:t xml:space="preserve">етах на ежегодное исследование </w:t>
      </w:r>
      <w:r w:rsidRPr="00C10554">
        <w:t>И</w:t>
      </w:r>
      <w:r>
        <w:t>С</w:t>
      </w:r>
      <w:r w:rsidRPr="00C10554">
        <w:t>Ю по формальному образованию, включая сбор данных ЮНЕСКО-ОЭСР-</w:t>
      </w:r>
      <w:proofErr w:type="spellStart"/>
      <w:r w:rsidRPr="00C10554">
        <w:t>Евростата</w:t>
      </w:r>
      <w:proofErr w:type="spellEnd"/>
      <w:r w:rsidRPr="00C10554">
        <w:t xml:space="preserve"> (UOE). </w:t>
      </w:r>
    </w:p>
    <w:p w:rsidR="00AB7F96" w:rsidRPr="00C10554" w:rsidRDefault="00AB7F96" w:rsidP="00AB7F96">
      <w:pPr>
        <w:pStyle w:val="ab"/>
        <w:numPr>
          <w:ilvl w:val="1"/>
          <w:numId w:val="6"/>
        </w:numPr>
      </w:pPr>
      <w:r w:rsidRPr="00C10554">
        <w:lastRenderedPageBreak/>
        <w:t xml:space="preserve">Знаменатель: данные об общих государственных расходах (по всем секторам) берутся из базы данных Международного валютного фонда </w:t>
      </w:r>
      <w:r>
        <w:t>«</w:t>
      </w:r>
      <w:r w:rsidRPr="00C10554">
        <w:t>Перспективы мировой экономики</w:t>
      </w:r>
      <w:r>
        <w:t>»</w:t>
      </w:r>
      <w:r w:rsidRPr="00C10554">
        <w:t xml:space="preserve"> и обновляются ежегодно.</w:t>
      </w:r>
    </w:p>
    <w:p w:rsidR="00AB7F96" w:rsidRPr="00C10554" w:rsidRDefault="00AB7F96" w:rsidP="00AB7F96">
      <w:pPr>
        <w:pStyle w:val="ab"/>
        <w:numPr>
          <w:ilvl w:val="0"/>
          <w:numId w:val="6"/>
        </w:numPr>
      </w:pPr>
      <w:r w:rsidRPr="00C10554">
        <w:t>Динамический шаблон пользовательского интерфейса (числитель и знаменатель): данные, предоставляемые странами, или данные, полученные из национальных официальных документов.</w:t>
      </w:r>
    </w:p>
    <w:p w:rsidR="001D4928" w:rsidRDefault="001D4928" w:rsidP="001D4928"/>
    <w:p w:rsidR="001D4928" w:rsidRDefault="001D4928" w:rsidP="001D4928">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1D4928" w:rsidRPr="006477DD" w:rsidRDefault="001D4928" w:rsidP="001D4928">
      <w:r w:rsidRPr="006477DD">
        <w:t xml:space="preserve">а. Ежегодный опрос </w:t>
      </w:r>
      <w:r w:rsidR="00AB7F96">
        <w:t>ИСЮ</w:t>
      </w:r>
      <w:r w:rsidRPr="006477DD">
        <w:t xml:space="preserve"> (обычно </w:t>
      </w:r>
      <w:r>
        <w:t>проводится</w:t>
      </w:r>
      <w:r w:rsidRPr="006477DD">
        <w:t xml:space="preserve"> в 4-м квартале каждого года) и опрос UOE (обычно </w:t>
      </w:r>
      <w:r>
        <w:t>проводится</w:t>
      </w:r>
      <w:r w:rsidRPr="006477DD">
        <w:t xml:space="preserve"> в июне каждого года).</w:t>
      </w:r>
    </w:p>
    <w:p w:rsidR="001D4928" w:rsidRDefault="001D4928" w:rsidP="001D4928">
      <w:proofErr w:type="gramStart"/>
      <w:r w:rsidRPr="006477DD">
        <w:t>б</w:t>
      </w:r>
      <w:proofErr w:type="gramEnd"/>
      <w:r w:rsidRPr="006477DD">
        <w:t>. Интеллектуальный анализ данных проводится периодически в соответствии с графиком выпуска данных ИСЮ.</w:t>
      </w:r>
    </w:p>
    <w:p w:rsidR="001D4928" w:rsidRDefault="001D4928" w:rsidP="001D4928">
      <w:pPr>
        <w:pStyle w:val="MHeader2"/>
        <w:rPr>
          <w:b/>
          <w:color w:val="auto"/>
          <w:sz w:val="24"/>
          <w:szCs w:val="24"/>
          <w:lang w:val="ru-RU"/>
        </w:rPr>
      </w:pPr>
      <w:r w:rsidRPr="00BD29EC">
        <w:rPr>
          <w:color w:val="auto"/>
          <w:sz w:val="24"/>
          <w:szCs w:val="24"/>
          <w:lang w:val="ru-RU"/>
        </w:rPr>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1D4928" w:rsidRDefault="00AB7F96" w:rsidP="001D4928">
      <w:r>
        <w:t xml:space="preserve">Выпуск данных </w:t>
      </w:r>
      <w:r w:rsidR="001D4928" w:rsidRPr="00FC3255">
        <w:t>И</w:t>
      </w:r>
      <w:r>
        <w:t>С</w:t>
      </w:r>
      <w:r w:rsidR="001D4928" w:rsidRPr="00FC3255">
        <w:t>Ю раз в два года (февраль и сентябрь).</w:t>
      </w:r>
    </w:p>
    <w:p w:rsidR="001D4928" w:rsidRDefault="001D4928" w:rsidP="001D4928">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Pr="00A71EC6">
        <w:rPr>
          <w:b/>
          <w:color w:val="auto"/>
          <w:sz w:val="24"/>
          <w:szCs w:val="24"/>
          <w:lang w:val="ru-RU"/>
        </w:rPr>
        <w:t>Поставщики данных</w:t>
      </w:r>
    </w:p>
    <w:p w:rsidR="001D4928" w:rsidRDefault="001D4928" w:rsidP="001D4928">
      <w:r w:rsidRPr="00FC3255">
        <w:t>Министерства финансов, министерства образования, национальные статистические управления.</w:t>
      </w:r>
    </w:p>
    <w:p w:rsidR="001D4928" w:rsidRDefault="001D4928" w:rsidP="001D4928">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1D4928" w:rsidRDefault="001D4928" w:rsidP="001D4928">
      <w:r w:rsidRPr="00F6024E">
        <w:t>Статистический институт ЮНЕСКО, ОЭСР, Евростат</w:t>
      </w:r>
    </w:p>
    <w:p w:rsidR="001D4928" w:rsidRPr="00BD29EC" w:rsidRDefault="001D4928" w:rsidP="001D4928">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AB7F96" w:rsidRDefault="001D4928" w:rsidP="001D4928">
      <w:r w:rsidRPr="009B173D">
        <w:t>С</w:t>
      </w:r>
      <w:r w:rsidR="001D120F">
        <w:t>татистический институт ЮНЕСКО (</w:t>
      </w:r>
      <w:r w:rsidRPr="009B173D">
        <w:t>И</w:t>
      </w:r>
      <w:r w:rsidR="001D120F">
        <w:t>С</w:t>
      </w:r>
      <w:r w:rsidRPr="009B173D">
        <w:t>Ю) является статистическим подразделением Организации Объединенных Наций по вопросам образования, науки и культуры (ЮНЕСКО). Институт производит сопоставимые на международном уровне данные и методологии в области образования, науки, культуры и коммуникации для стран, наход</w:t>
      </w:r>
      <w:r w:rsidR="00AB7F96">
        <w:t>ящихся на всех этапах развития.</w:t>
      </w:r>
    </w:p>
    <w:p w:rsidR="001D4928" w:rsidRDefault="001D4928" w:rsidP="001D4928">
      <w:r w:rsidRPr="009B173D">
        <w:t xml:space="preserve">В </w:t>
      </w:r>
      <w:hyperlink r:id="rId11" w:history="1">
        <w:r w:rsidR="00AB7F96">
          <w:rPr>
            <w:rStyle w:val="ac"/>
          </w:rPr>
          <w:t>§100 Рамочной программы действий «Образование-2030»</w:t>
        </w:r>
      </w:hyperlink>
      <w:r w:rsidR="00AB7F96">
        <w:t xml:space="preserve"> </w:t>
      </w:r>
      <w:r w:rsidRPr="009B173D">
        <w:t xml:space="preserve">четко указано, что: </w:t>
      </w:r>
      <w:r w:rsidRPr="000F2F5C">
        <w:rPr>
          <w:i/>
        </w:rPr>
        <w:t>«Признавая важность гармониз</w:t>
      </w:r>
      <w:r w:rsidR="001D120F">
        <w:rPr>
          <w:i/>
        </w:rPr>
        <w:t xml:space="preserve">ации мониторинга и отчетности, </w:t>
      </w:r>
      <w:r w:rsidRPr="000F2F5C">
        <w:rPr>
          <w:i/>
        </w:rPr>
        <w:t>И</w:t>
      </w:r>
      <w:r w:rsidR="001D120F">
        <w:rPr>
          <w:i/>
        </w:rPr>
        <w:t>С</w:t>
      </w:r>
      <w:r w:rsidRPr="000F2F5C">
        <w:rPr>
          <w:i/>
        </w:rPr>
        <w:t xml:space="preserve">Ю останется официальным источником данных об образовании, сопоставимых на международном уровне. Он будет продолжать разрабатывать показатели международного мониторинга на основе своего ежегодного обследования образования и других источников данных, которые гарантируют международную сопоставимость </w:t>
      </w:r>
      <w:proofErr w:type="gramStart"/>
      <w:r w:rsidRPr="000F2F5C">
        <w:rPr>
          <w:i/>
        </w:rPr>
        <w:t>для</w:t>
      </w:r>
      <w:proofErr w:type="gramEnd"/>
      <w:r w:rsidRPr="000F2F5C">
        <w:rPr>
          <w:i/>
        </w:rPr>
        <w:t xml:space="preserve"> более </w:t>
      </w:r>
      <w:proofErr w:type="gramStart"/>
      <w:r w:rsidRPr="000F2F5C">
        <w:rPr>
          <w:i/>
        </w:rPr>
        <w:t>чем</w:t>
      </w:r>
      <w:proofErr w:type="gramEnd"/>
      <w:r w:rsidRPr="000F2F5C">
        <w:rPr>
          <w:i/>
        </w:rPr>
        <w:t xml:space="preserve"> 200 стран и те</w:t>
      </w:r>
      <w:r w:rsidR="001D120F">
        <w:rPr>
          <w:i/>
        </w:rPr>
        <w:t xml:space="preserve">рриторий. Помимо сбора данных, </w:t>
      </w:r>
      <w:r w:rsidRPr="000F2F5C">
        <w:rPr>
          <w:i/>
        </w:rPr>
        <w:t>И</w:t>
      </w:r>
      <w:r w:rsidR="001D120F">
        <w:rPr>
          <w:i/>
        </w:rPr>
        <w:t>С</w:t>
      </w:r>
      <w:r w:rsidRPr="000F2F5C">
        <w:rPr>
          <w:i/>
        </w:rPr>
        <w:t>Ю будет работать с партнерами над разработкой новых показателей, статистических подходов и инструментов мониторинга для более эффективной оценки прогресса в выполнении задач, связанных с мандатом ЮНЕСКО, работая в координации с SC SDG-</w:t>
      </w:r>
      <w:proofErr w:type="spellStart"/>
      <w:r w:rsidRPr="000F2F5C">
        <w:rPr>
          <w:i/>
        </w:rPr>
        <w:t>Education</w:t>
      </w:r>
      <w:proofErr w:type="spellEnd"/>
      <w:r w:rsidRPr="000F2F5C">
        <w:rPr>
          <w:i/>
        </w:rPr>
        <w:t xml:space="preserve"> 2030»</w:t>
      </w:r>
      <w:r w:rsidRPr="009B173D">
        <w:t>.</w:t>
      </w:r>
    </w:p>
    <w:p w:rsidR="00AB7F96" w:rsidRPr="00BD29EC" w:rsidRDefault="00AB7F96" w:rsidP="001D4928"/>
    <w:p w:rsidR="001D4928" w:rsidRPr="000F2F5C" w:rsidRDefault="001D4928" w:rsidP="001D4928">
      <w:pPr>
        <w:pStyle w:val="MHeader2"/>
        <w:rPr>
          <w:b/>
          <w:color w:val="auto"/>
          <w:sz w:val="24"/>
          <w:szCs w:val="24"/>
          <w:lang w:val="ru-RU"/>
        </w:rPr>
      </w:pPr>
      <w:r w:rsidRPr="000F2F5C">
        <w:rPr>
          <w:b/>
          <w:color w:val="auto"/>
          <w:sz w:val="24"/>
          <w:szCs w:val="24"/>
          <w:lang w:val="ru-RU"/>
        </w:rPr>
        <w:lastRenderedPageBreak/>
        <w:t>4. Иные методологические соображения</w:t>
      </w:r>
    </w:p>
    <w:p w:rsidR="001D4928" w:rsidRPr="00BD29EC" w:rsidRDefault="001D4928" w:rsidP="001D4928">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Обоснование</w:t>
      </w:r>
    </w:p>
    <w:p w:rsidR="001D4928" w:rsidRDefault="001D4928" w:rsidP="001D4928">
      <w:r w:rsidRPr="00880AF9">
        <w:t>Этот показатель используется для оценки внимания правительства к образованию по сравнению с другими секторами. Индикатор показывает, насколько приоритетным является образование для данного правительства с течением времени или по сравнению с другими странами.</w:t>
      </w:r>
    </w:p>
    <w:p w:rsidR="001D4928" w:rsidRDefault="001D4928" w:rsidP="001D4928">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Комментарии и ограничения</w:t>
      </w:r>
    </w:p>
    <w:p w:rsidR="00856697" w:rsidRDefault="001D4928" w:rsidP="001D4928">
      <w:r w:rsidRPr="007A6D6F">
        <w:t>Высокая доля государственных расходов на образование свидетельствует о высоком приоритете образования по сравнению с другими государственными инвестициями. В Рамочной программе действий «Образование-2030» утвержден контрольный показатель для этого показателя, который побуждает страны выделять на образование не менее 15–20% своих государственных расходов</w:t>
      </w:r>
      <w:r w:rsidR="00856697">
        <w:t>.</w:t>
      </w:r>
    </w:p>
    <w:p w:rsidR="00856697" w:rsidRDefault="00856697" w:rsidP="00856697">
      <w:r>
        <w:t xml:space="preserve">Хотя этот показатель позволяет проводить </w:t>
      </w:r>
      <w:proofErr w:type="spellStart"/>
      <w:r>
        <w:t>межстрановые</w:t>
      </w:r>
      <w:proofErr w:type="spellEnd"/>
      <w:r>
        <w:t xml:space="preserve"> сравнения, различия в государственных структурах, практике составления бюджета и определениях могут ограничивать сопоставимость данных между странами. Различия в том, как страны классифицируют расходы на образование и сообщают о них, могут вносить искажения в сравнительный анализ.</w:t>
      </w:r>
    </w:p>
    <w:p w:rsidR="001D4928" w:rsidRDefault="00856697" w:rsidP="00856697">
      <w:r>
        <w:t>Этот показатель не учитывает демографические характеристики населения страны, такие как распределение по возрасту или социально-экономический статус. Страны с более молодым населением, естественно, могут выделять более высокую долю расходов на образование, независимо от приоритетов правительства, в то время как страны со стареющим населением могут уделять приоритетное внимание другим основным услугам, таким как здравоохранение или социальное обеспечение.</w:t>
      </w:r>
    </w:p>
    <w:p w:rsidR="001D4928" w:rsidRDefault="001D4928" w:rsidP="001D4928">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Метод расчета</w:t>
      </w:r>
      <w:r w:rsidRPr="00BD29EC">
        <w:rPr>
          <w:color w:val="auto"/>
          <w:sz w:val="24"/>
          <w:szCs w:val="24"/>
          <w:lang w:val="ru-RU"/>
        </w:rPr>
        <w:t xml:space="preserve"> </w:t>
      </w:r>
    </w:p>
    <w:p w:rsidR="001D4928" w:rsidRPr="00285331" w:rsidRDefault="001D4928" w:rsidP="001D4928">
      <w:r w:rsidRPr="00285331">
        <w:t>Общие государственные расходы на образование на всех уровнях вместе взятые выражаются в процентах от общих государственных расходов (всех секторов).</w:t>
      </w:r>
    </w:p>
    <w:p w:rsidR="001D4928" w:rsidRDefault="00856697" w:rsidP="001D120F">
      <w:pPr>
        <w:jc w:val="center"/>
      </w:pPr>
      <m:oMathPara>
        <m:oMath>
          <m:sSub>
            <m:sSubPr>
              <m:ctrlPr>
                <w:rPr>
                  <w:rFonts w:ascii="Cambria Math" w:hAnsi="Cambria Math"/>
                  <w:i/>
                  <w:sz w:val="28"/>
                  <w:szCs w:val="28"/>
                  <w:lang w:val="en-GB"/>
                </w:rPr>
              </m:ctrlPr>
            </m:sSubPr>
            <m:e>
              <m:r>
                <w:rPr>
                  <w:rFonts w:ascii="Cambria Math" w:hAnsi="Cambria Math"/>
                  <w:sz w:val="28"/>
                  <w:szCs w:val="28"/>
                  <w:lang w:val="en-GB"/>
                </w:rPr>
                <m:t>PXE</m:t>
              </m:r>
            </m:e>
            <m:sub>
              <m:r>
                <w:rPr>
                  <w:rFonts w:ascii="Cambria Math" w:hAnsi="Cambria Math"/>
                  <w:sz w:val="28"/>
                  <w:szCs w:val="28"/>
                  <w:lang w:val="en-GB"/>
                </w:rPr>
                <m:t>t</m:t>
              </m:r>
            </m:sub>
          </m:sSub>
          <m:r>
            <m:rPr>
              <m:sty m:val="p"/>
            </m:rPr>
            <w:rPr>
              <w:rFonts w:ascii="Cambria Math" w:hAnsi="Cambria Math"/>
              <w:sz w:val="28"/>
              <w:szCs w:val="28"/>
            </w:rPr>
            <m:t>=</m:t>
          </m:r>
          <m:f>
            <m:fPr>
              <m:ctrlPr>
                <w:rPr>
                  <w:rFonts w:ascii="Cambria Math" w:hAnsi="Cambria Math"/>
                  <w:sz w:val="28"/>
                  <w:szCs w:val="28"/>
                  <w:lang w:val="en-GB"/>
                </w:rPr>
              </m:ctrlPr>
            </m:fPr>
            <m:num>
              <m:r>
                <w:rPr>
                  <w:rFonts w:ascii="Cambria Math" w:hAnsi="Cambria Math"/>
                  <w:sz w:val="28"/>
                  <w:szCs w:val="28"/>
                  <w:lang w:val="en-GB"/>
                </w:rPr>
                <m:t>T</m:t>
              </m:r>
              <m:sSub>
                <m:sSubPr>
                  <m:ctrlPr>
                    <w:rPr>
                      <w:rFonts w:ascii="Cambria Math" w:hAnsi="Cambria Math"/>
                      <w:i/>
                      <w:sz w:val="28"/>
                      <w:szCs w:val="28"/>
                      <w:lang w:val="en-GB"/>
                    </w:rPr>
                  </m:ctrlPr>
                </m:sSubPr>
                <m:e>
                  <m:r>
                    <w:rPr>
                      <w:rFonts w:ascii="Cambria Math" w:hAnsi="Cambria Math"/>
                      <w:sz w:val="28"/>
                      <w:szCs w:val="28"/>
                      <w:lang w:val="en-GB"/>
                    </w:rPr>
                    <m:t>XE</m:t>
                  </m:r>
                </m:e>
                <m:sub>
                  <m:r>
                    <w:rPr>
                      <w:rFonts w:ascii="Cambria Math" w:hAnsi="Cambria Math"/>
                      <w:sz w:val="28"/>
                      <w:szCs w:val="28"/>
                      <w:lang w:val="en-GB"/>
                    </w:rPr>
                    <m:t>t</m:t>
                  </m:r>
                </m:sub>
              </m:sSub>
            </m:num>
            <m:den>
              <m:sSub>
                <m:sSubPr>
                  <m:ctrlPr>
                    <w:rPr>
                      <w:rFonts w:ascii="Cambria Math" w:hAnsi="Cambria Math"/>
                      <w:i/>
                      <w:sz w:val="28"/>
                      <w:szCs w:val="28"/>
                      <w:lang w:val="en-GB"/>
                    </w:rPr>
                  </m:ctrlPr>
                </m:sSubPr>
                <m:e>
                  <m:r>
                    <w:rPr>
                      <w:rFonts w:ascii="Cambria Math" w:hAnsi="Cambria Math"/>
                      <w:sz w:val="28"/>
                      <w:szCs w:val="28"/>
                      <w:lang w:val="en-GB"/>
                    </w:rPr>
                    <m:t>TPX</m:t>
                  </m:r>
                </m:e>
                <m:sub>
                  <m:r>
                    <w:rPr>
                      <w:rFonts w:ascii="Cambria Math" w:hAnsi="Cambria Math"/>
                      <w:sz w:val="28"/>
                      <w:szCs w:val="28"/>
                      <w:lang w:val="en-GB"/>
                    </w:rPr>
                    <m:t>t</m:t>
                  </m:r>
                </m:sub>
              </m:sSub>
            </m:den>
          </m:f>
        </m:oMath>
      </m:oMathPara>
    </w:p>
    <w:p w:rsidR="001D4928" w:rsidRPr="00285331" w:rsidRDefault="001D4928" w:rsidP="001D4928">
      <w:r w:rsidRPr="00285331">
        <w:rPr>
          <w:rFonts w:ascii="Cambria Math" w:hAnsi="Cambria Math" w:cs="Cambria Math"/>
        </w:rPr>
        <w:t>𝑃𝑋𝐸𝑡</w:t>
      </w:r>
      <w:r w:rsidRPr="00285331">
        <w:t xml:space="preserve"> = государственные расходы на образование в процентах от общих государственных расходов</w:t>
      </w:r>
      <w:r w:rsidR="00856697">
        <w:t xml:space="preserve"> за</w:t>
      </w:r>
      <w:r w:rsidRPr="00285331">
        <w:t xml:space="preserve"> финансов</w:t>
      </w:r>
      <w:r w:rsidR="00856697">
        <w:t>ый год</w:t>
      </w:r>
      <w:r w:rsidRPr="00285331">
        <w:t xml:space="preserve"> </w:t>
      </w:r>
      <w:r w:rsidRPr="00856697">
        <w:rPr>
          <w:i/>
        </w:rPr>
        <w:t>t</w:t>
      </w:r>
    </w:p>
    <w:p w:rsidR="001D4928" w:rsidRPr="00285331" w:rsidRDefault="001D4928" w:rsidP="001D4928">
      <w:r w:rsidRPr="00285331">
        <w:rPr>
          <w:rFonts w:ascii="Cambria Math" w:hAnsi="Cambria Math" w:cs="Cambria Math"/>
        </w:rPr>
        <w:t>𝑇𝑋𝐸𝑡</w:t>
      </w:r>
      <w:r w:rsidRPr="00285331">
        <w:t xml:space="preserve"> = общие государственные расходы на образование </w:t>
      </w:r>
      <w:r w:rsidR="00856697" w:rsidRPr="00856697">
        <w:t xml:space="preserve">за финансовый год </w:t>
      </w:r>
      <w:r w:rsidR="00856697" w:rsidRPr="00856697">
        <w:rPr>
          <w:i/>
        </w:rPr>
        <w:t>t</w:t>
      </w:r>
    </w:p>
    <w:p w:rsidR="00856697" w:rsidRDefault="001D4928" w:rsidP="001D4928">
      <w:r w:rsidRPr="00285331">
        <w:rPr>
          <w:rFonts w:ascii="Cambria Math" w:hAnsi="Cambria Math" w:cs="Cambria Math"/>
        </w:rPr>
        <w:t>𝑇𝑃𝑋𝑡</w:t>
      </w:r>
      <w:r w:rsidRPr="00285331">
        <w:t xml:space="preserve"> = общие государственные расходы </w:t>
      </w:r>
      <w:r w:rsidR="00856697" w:rsidRPr="00856697">
        <w:t>за финансовый год</w:t>
      </w:r>
      <w:r w:rsidR="00856697" w:rsidRPr="00856697">
        <w:rPr>
          <w:i/>
        </w:rPr>
        <w:t xml:space="preserve"> t</w:t>
      </w:r>
    </w:p>
    <w:p w:rsidR="001D4928" w:rsidRPr="00BD29EC" w:rsidRDefault="001D4928" w:rsidP="001D4928">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Pr="00A71EC6">
        <w:rPr>
          <w:b/>
          <w:color w:val="auto"/>
          <w:sz w:val="24"/>
          <w:szCs w:val="24"/>
          <w:lang w:val="ru-RU"/>
        </w:rPr>
        <w:t>Валидация</w:t>
      </w:r>
      <w:proofErr w:type="spellEnd"/>
    </w:p>
    <w:p w:rsidR="001D4928" w:rsidRDefault="001D4928" w:rsidP="001D4928">
      <w:r w:rsidRPr="009A39FD">
        <w:t xml:space="preserve">Статистический институт ЮНЕСКО передает все значения показателей и примечания по методологии национальным статистическим управлениям, министерствам образования </w:t>
      </w:r>
      <w:r w:rsidRPr="009A39FD">
        <w:lastRenderedPageBreak/>
        <w:t>или другим соответствующим учреждениям в отдельных странах для их обзора, обратной связи и проверки перед публикацией данных.</w:t>
      </w:r>
    </w:p>
    <w:p w:rsidR="001D4928" w:rsidRPr="00BD29EC" w:rsidRDefault="001D4928" w:rsidP="001D4928">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Pr="00A71EC6">
        <w:rPr>
          <w:b/>
          <w:color w:val="auto"/>
          <w:sz w:val="24"/>
          <w:szCs w:val="24"/>
          <w:lang w:val="ru-RU"/>
        </w:rPr>
        <w:t>Корректировки</w:t>
      </w:r>
    </w:p>
    <w:p w:rsidR="001D4928" w:rsidRDefault="001D4928" w:rsidP="001D4928">
      <w:r w:rsidRPr="009A39FD">
        <w:t>Данные должны охватывать только формальное образование и соответствовать общепринятым определениям.</w:t>
      </w:r>
    </w:p>
    <w:p w:rsidR="001D4928" w:rsidRPr="00BD29EC" w:rsidRDefault="001D4928" w:rsidP="001D4928">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Обработка отсутствующих значений (</w:t>
      </w:r>
      <w:proofErr w:type="spellStart"/>
      <w:r w:rsidRPr="00A71EC6">
        <w:rPr>
          <w:b/>
          <w:color w:val="auto"/>
          <w:sz w:val="24"/>
          <w:szCs w:val="24"/>
        </w:rPr>
        <w:t>i</w:t>
      </w:r>
      <w:proofErr w:type="spellEnd"/>
      <w:r w:rsidRPr="00A71EC6">
        <w:rPr>
          <w:b/>
          <w:color w:val="auto"/>
          <w:sz w:val="24"/>
          <w:szCs w:val="24"/>
          <w:lang w:val="ru-RU"/>
        </w:rPr>
        <w:t>) на уровне страны и (</w:t>
      </w:r>
      <w:r w:rsidRPr="00A71EC6">
        <w:rPr>
          <w:b/>
          <w:color w:val="auto"/>
          <w:sz w:val="24"/>
          <w:szCs w:val="24"/>
        </w:rPr>
        <w:t>ii</w:t>
      </w:r>
      <w:r w:rsidRPr="00A71EC6">
        <w:rPr>
          <w:b/>
          <w:color w:val="auto"/>
          <w:sz w:val="24"/>
          <w:szCs w:val="24"/>
          <w:lang w:val="ru-RU"/>
        </w:rPr>
        <w:t>) на региональном уровне</w:t>
      </w:r>
    </w:p>
    <w:p w:rsidR="00800263" w:rsidRPr="00800263" w:rsidRDefault="00800263" w:rsidP="00800263">
      <w:pPr>
        <w:pStyle w:val="ab"/>
        <w:numPr>
          <w:ilvl w:val="0"/>
          <w:numId w:val="7"/>
        </w:numPr>
        <w:spacing w:after="120"/>
        <w:rPr>
          <w:b/>
        </w:rPr>
      </w:pPr>
      <w:r>
        <w:rPr>
          <w:b/>
        </w:rPr>
        <w:t>На страновом уровне:</w:t>
      </w:r>
    </w:p>
    <w:p w:rsidR="00800263" w:rsidRPr="00BD29EC" w:rsidRDefault="00800263" w:rsidP="00800263">
      <w:pPr>
        <w:pStyle w:val="ab"/>
        <w:spacing w:after="120"/>
        <w:ind w:left="0"/>
      </w:pPr>
      <w:r>
        <w:t>С</w:t>
      </w:r>
      <w:r w:rsidRPr="00800263">
        <w:t>оставител</w:t>
      </w:r>
      <w:r>
        <w:t>ем</w:t>
      </w:r>
      <w:r w:rsidRPr="00800263">
        <w:t xml:space="preserve"> статистических данных</w:t>
      </w:r>
      <w:r>
        <w:t xml:space="preserve"> н</w:t>
      </w:r>
      <w:r w:rsidRPr="00800263">
        <w:t>икакие вменения не производятся</w:t>
      </w:r>
    </w:p>
    <w:p w:rsidR="00800263" w:rsidRPr="00800263" w:rsidRDefault="001D4928" w:rsidP="00800263">
      <w:pPr>
        <w:pStyle w:val="ab"/>
        <w:numPr>
          <w:ilvl w:val="0"/>
          <w:numId w:val="7"/>
        </w:numPr>
        <w:spacing w:after="120"/>
        <w:rPr>
          <w:b/>
        </w:rPr>
      </w:pPr>
      <w:r w:rsidRPr="00800263">
        <w:rPr>
          <w:b/>
        </w:rPr>
        <w:t>На региональном и глобальном уровнях</w:t>
      </w:r>
      <w:r w:rsidR="00800263">
        <w:rPr>
          <w:b/>
        </w:rPr>
        <w:t>:</w:t>
      </w:r>
    </w:p>
    <w:p w:rsidR="00800263" w:rsidRPr="00BD29EC" w:rsidRDefault="00800263" w:rsidP="00800263">
      <w:pPr>
        <w:pStyle w:val="ab"/>
        <w:ind w:left="0"/>
      </w:pPr>
      <w:r w:rsidRPr="00800263">
        <w:t>Пробелы в данных заполняются последними доступными значениями.</w:t>
      </w:r>
    </w:p>
    <w:p w:rsidR="001D4928" w:rsidRPr="00BD29EC" w:rsidRDefault="001D4928" w:rsidP="001D4928">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Региональное агрегирование</w:t>
      </w:r>
      <w:r w:rsidRPr="00BD29EC">
        <w:rPr>
          <w:color w:val="auto"/>
          <w:sz w:val="24"/>
          <w:szCs w:val="24"/>
          <w:lang w:val="ru-RU"/>
        </w:rPr>
        <w:t xml:space="preserve"> </w:t>
      </w:r>
    </w:p>
    <w:p w:rsidR="001D4928" w:rsidRDefault="001D120F" w:rsidP="001D4928">
      <w:r w:rsidRPr="001D120F">
        <w:t>Медиана с охватом, равным или превышающим 50% стран.</w:t>
      </w:r>
    </w:p>
    <w:p w:rsidR="001D4928" w:rsidRDefault="001D4928" w:rsidP="001D4928">
      <w:pPr>
        <w:pStyle w:val="MHeader2"/>
        <w:rPr>
          <w:b/>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Pr="00A71EC6">
        <w:rPr>
          <w:b/>
          <w:color w:val="auto"/>
          <w:sz w:val="24"/>
          <w:szCs w:val="24"/>
          <w:lang w:val="ru-RU"/>
        </w:rPr>
        <w:t>Доступные странам методы для сбора данных на национальном уровне</w:t>
      </w:r>
    </w:p>
    <w:p w:rsidR="001D4928" w:rsidRDefault="001D4928" w:rsidP="001D4928">
      <w:r w:rsidRPr="00EE4B93">
        <w:t>И</w:t>
      </w:r>
      <w:r w:rsidR="001D120F">
        <w:t>С</w:t>
      </w:r>
      <w:r w:rsidRPr="00EE4B93">
        <w:t>Ю разработал руководство для стран по методологии, которую следует использовать для расчета этого показателя на основе Обзора формального образования и его руководства. Стандартизированный шаблон для интеллектуального анализа данных содержит инструкции по его заполнению.</w:t>
      </w:r>
    </w:p>
    <w:p w:rsidR="001D4928" w:rsidRDefault="001D4928" w:rsidP="001D4928">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Pr="00A71EC6">
        <w:rPr>
          <w:b/>
          <w:color w:val="auto"/>
          <w:sz w:val="24"/>
          <w:szCs w:val="24"/>
          <w:lang w:val="ru-RU"/>
        </w:rPr>
        <w:t>Управление качеством</w:t>
      </w:r>
    </w:p>
    <w:p w:rsidR="001D4928" w:rsidRPr="00BD29EC" w:rsidRDefault="001D4928" w:rsidP="001D4928">
      <w:r>
        <w:t>И</w:t>
      </w:r>
      <w:r w:rsidR="001D120F">
        <w:t>С</w:t>
      </w:r>
      <w:r w:rsidRPr="00B15D63">
        <w:t>Ю поддерживает глобальную базу данных, используемую для расчета этого показателя, и определяет протоколы и стандарты для представления данных странами. В целях прозрачности включение точки данных в базу данных осуществляется в соответствии с протоколом и проверяет</w:t>
      </w:r>
      <w:r w:rsidR="001D120F">
        <w:t xml:space="preserve">ся техническими координаторами </w:t>
      </w:r>
      <w:r w:rsidRPr="00B15D63">
        <w:t>И</w:t>
      </w:r>
      <w:r w:rsidR="001D120F">
        <w:t>С</w:t>
      </w:r>
      <w:r w:rsidRPr="00B15D63">
        <w:t>Ю для обеспечения согласованности и общего качества данных на основе объективных критериев, чтобы гарантировать, что только самая свежая и надежная информация включен</w:t>
      </w:r>
      <w:r>
        <w:t>а</w:t>
      </w:r>
      <w:r w:rsidRPr="00B15D63">
        <w:t xml:space="preserve"> в базу данных.</w:t>
      </w:r>
    </w:p>
    <w:p w:rsidR="001D4928" w:rsidRDefault="001D4928" w:rsidP="001D4928">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Pr="00040034">
        <w:rPr>
          <w:color w:val="auto"/>
          <w:sz w:val="24"/>
          <w:szCs w:val="24"/>
          <w:lang w:val="ru-RU"/>
        </w:rPr>
        <w:t xml:space="preserve">. </w:t>
      </w:r>
      <w:r w:rsidRPr="00A71EC6">
        <w:rPr>
          <w:b/>
          <w:color w:val="auto"/>
          <w:sz w:val="24"/>
          <w:szCs w:val="24"/>
          <w:lang w:val="ru-RU"/>
        </w:rPr>
        <w:t>Обеспечение качества</w:t>
      </w:r>
    </w:p>
    <w:p w:rsidR="001D4928" w:rsidRDefault="001D4928" w:rsidP="001D4928">
      <w:r w:rsidRPr="00434B7C">
        <w:t>Перед ежегодным выпуском данных и добавлением любых показателей в глобальную базу данных показателей ЦУР Институт статистики ЮНЕСКО представляет все значения показателей и примечания по методологии Национальным статистическим управлениям, Министерствам образования или другим соответствующим учреждениям в отдельных странах для их рассмотрения и обратной связи.</w:t>
      </w:r>
    </w:p>
    <w:p w:rsidR="001D4928" w:rsidRDefault="001D4928" w:rsidP="001D4928">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1D4928" w:rsidRPr="00BD29EC" w:rsidRDefault="001D4928" w:rsidP="001D4928">
      <w:r w:rsidRPr="00434B7C">
        <w:t xml:space="preserve">Показатель должен быть составлен на основе последовательных и фактических данных об общих государственных расходах на образование и общих государственных расходах по всем секторам вместе взятым. Критерии оценки качества включают: источники данных </w:t>
      </w:r>
      <w:r w:rsidRPr="00434B7C">
        <w:lastRenderedPageBreak/>
        <w:t>должны содержать надлежащую документацию; значения данных должны быть репрезентативными на национальном уровне населения и, если нет, должны быть указаны в сносках; данные достоверны и основаны на тенденциях и соответствии с ранее опубликованными/сообщенными значениями показателя.</w:t>
      </w:r>
    </w:p>
    <w:p w:rsidR="001D4928" w:rsidRPr="00BD29EC" w:rsidRDefault="001D4928" w:rsidP="001D4928">
      <w:pPr>
        <w:pStyle w:val="MHeader"/>
        <w:spacing w:after="100"/>
        <w:rPr>
          <w:b/>
          <w:color w:val="auto"/>
          <w:sz w:val="24"/>
          <w:szCs w:val="24"/>
          <w:lang w:val="ru-RU"/>
        </w:rPr>
      </w:pPr>
      <w:r w:rsidRPr="00BD29EC">
        <w:rPr>
          <w:b/>
          <w:color w:val="auto"/>
          <w:sz w:val="24"/>
          <w:szCs w:val="24"/>
          <w:lang w:val="ru-RU"/>
        </w:rPr>
        <w:t>5. Доступность и дезагрег</w:t>
      </w:r>
      <w:r w:rsidR="001D120F">
        <w:rPr>
          <w:b/>
          <w:color w:val="auto"/>
          <w:sz w:val="24"/>
          <w:szCs w:val="24"/>
          <w:lang w:val="ru-RU"/>
        </w:rPr>
        <w:t>ация</w:t>
      </w:r>
      <w:r w:rsidRPr="00BD29EC">
        <w:rPr>
          <w:b/>
          <w:color w:val="auto"/>
          <w:sz w:val="24"/>
          <w:szCs w:val="24"/>
          <w:lang w:val="ru-RU"/>
        </w:rPr>
        <w:t xml:space="preserve"> данных</w:t>
      </w:r>
    </w:p>
    <w:p w:rsidR="001D4928" w:rsidRPr="001D120F" w:rsidRDefault="001D4928" w:rsidP="001D4928">
      <w:pPr>
        <w:rPr>
          <w:b/>
        </w:rPr>
      </w:pPr>
      <w:r w:rsidRPr="001D120F">
        <w:rPr>
          <w:b/>
        </w:rPr>
        <w:t>Доступность данных:</w:t>
      </w:r>
    </w:p>
    <w:p w:rsidR="001D4928" w:rsidRDefault="001D4928" w:rsidP="001D4928">
      <w:r w:rsidRPr="00A21B67">
        <w:t>1</w:t>
      </w:r>
      <w:r w:rsidR="001D120F">
        <w:t>25</w:t>
      </w:r>
      <w:r w:rsidRPr="00A21B67">
        <w:t xml:space="preserve"> стран с хотя бы одной точкой данных </w:t>
      </w:r>
      <w:r w:rsidR="001D120F">
        <w:t>за период 2000</w:t>
      </w:r>
      <w:r w:rsidRPr="00A21B67">
        <w:t>–20</w:t>
      </w:r>
      <w:r w:rsidR="001D120F">
        <w:t>23</w:t>
      </w:r>
      <w:r w:rsidRPr="00A21B67">
        <w:t xml:space="preserve"> гг.</w:t>
      </w:r>
    </w:p>
    <w:p w:rsidR="001D4928" w:rsidRPr="001D120F" w:rsidRDefault="001D4928" w:rsidP="001D4928">
      <w:pPr>
        <w:rPr>
          <w:b/>
        </w:rPr>
      </w:pPr>
      <w:r w:rsidRPr="001D120F">
        <w:rPr>
          <w:b/>
        </w:rPr>
        <w:t>Временные ряды:</w:t>
      </w:r>
    </w:p>
    <w:p w:rsidR="001D4928" w:rsidRDefault="001D120F" w:rsidP="001D4928">
      <w:r>
        <w:t>2000</w:t>
      </w:r>
      <w:r w:rsidR="001D4928" w:rsidRPr="00A21B67">
        <w:t>-20</w:t>
      </w:r>
      <w:r>
        <w:t>23</w:t>
      </w:r>
      <w:r w:rsidR="001D4928" w:rsidRPr="00A21B67">
        <w:t xml:space="preserve"> гг. в </w:t>
      </w:r>
      <w:r>
        <w:t>глобальной базе ООН по ЦУР</w:t>
      </w:r>
    </w:p>
    <w:p w:rsidR="001D4928" w:rsidRPr="001D120F" w:rsidRDefault="001D120F" w:rsidP="001D4928">
      <w:pPr>
        <w:rPr>
          <w:b/>
        </w:rPr>
      </w:pPr>
      <w:r w:rsidRPr="001D120F">
        <w:rPr>
          <w:b/>
        </w:rPr>
        <w:t>Дезагрегация</w:t>
      </w:r>
      <w:r w:rsidR="001D4928" w:rsidRPr="001D120F">
        <w:rPr>
          <w:b/>
        </w:rPr>
        <w:t>:</w:t>
      </w:r>
    </w:p>
    <w:p w:rsidR="001D4928" w:rsidRDefault="001D4928" w:rsidP="001D4928">
      <w:r>
        <w:t xml:space="preserve">Отсутствует. </w:t>
      </w:r>
    </w:p>
    <w:p w:rsidR="001D4928" w:rsidRPr="00BD29EC" w:rsidRDefault="001D4928" w:rsidP="001D4928">
      <w:pPr>
        <w:pStyle w:val="MHeader"/>
        <w:spacing w:after="100"/>
        <w:rPr>
          <w:b/>
          <w:color w:val="auto"/>
          <w:sz w:val="24"/>
          <w:szCs w:val="24"/>
          <w:lang w:val="ru-RU"/>
        </w:rPr>
      </w:pPr>
      <w:r w:rsidRPr="00BD29EC">
        <w:rPr>
          <w:b/>
          <w:color w:val="auto"/>
          <w:sz w:val="24"/>
          <w:szCs w:val="24"/>
          <w:lang w:val="ru-RU"/>
        </w:rPr>
        <w:t>6. Сопоставимость / отклонение от международных стандартов</w:t>
      </w:r>
    </w:p>
    <w:p w:rsidR="001D120F" w:rsidRPr="001D120F" w:rsidRDefault="001D120F" w:rsidP="001D4928">
      <w:pPr>
        <w:rPr>
          <w:b/>
          <w:lang w:eastAsia="en-GB"/>
        </w:rPr>
      </w:pPr>
      <w:r w:rsidRPr="001D120F">
        <w:rPr>
          <w:b/>
          <w:lang w:eastAsia="en-GB"/>
        </w:rPr>
        <w:t>Источники расхождений:</w:t>
      </w:r>
    </w:p>
    <w:p w:rsidR="001D4928" w:rsidRDefault="001D4928" w:rsidP="001D4928">
      <w:pPr>
        <w:rPr>
          <w:lang w:eastAsia="en-GB"/>
        </w:rPr>
      </w:pPr>
      <w:r w:rsidRPr="00A21B67">
        <w:rPr>
          <w:lang w:eastAsia="en-GB"/>
        </w:rPr>
        <w:t>Данные получены из разных источников и могут иметь различия в национальных определениях видов расходов.</w:t>
      </w:r>
    </w:p>
    <w:p w:rsidR="001D4928" w:rsidRDefault="001D4928" w:rsidP="001D4928">
      <w:pPr>
        <w:pBdr>
          <w:bottom w:val="single" w:sz="12" w:space="4" w:color="DDDDDD"/>
        </w:pBdr>
        <w:shd w:val="clear" w:color="auto" w:fill="FFFFFF"/>
        <w:spacing w:after="100"/>
        <w:outlineLvl w:val="2"/>
        <w:rPr>
          <w:rFonts w:eastAsia="Times New Roman" w:cs="Times New Roman"/>
          <w:b/>
          <w:szCs w:val="24"/>
          <w:lang w:eastAsia="en-GB"/>
        </w:rPr>
      </w:pPr>
      <w:r w:rsidRPr="00B61272">
        <w:rPr>
          <w:rFonts w:eastAsia="Times New Roman" w:cs="Times New Roman"/>
          <w:b/>
          <w:szCs w:val="24"/>
          <w:lang w:eastAsia="en-GB"/>
        </w:rPr>
        <w:t xml:space="preserve">7. </w:t>
      </w:r>
      <w:r>
        <w:rPr>
          <w:rFonts w:eastAsia="Times New Roman" w:cs="Times New Roman"/>
          <w:b/>
          <w:szCs w:val="24"/>
          <w:lang w:eastAsia="en-GB"/>
        </w:rPr>
        <w:t>Ссылки</w:t>
      </w:r>
      <w:r w:rsidRPr="00B61272">
        <w:rPr>
          <w:rFonts w:eastAsia="Times New Roman" w:cs="Times New Roman"/>
          <w:b/>
          <w:szCs w:val="24"/>
          <w:lang w:eastAsia="en-GB"/>
        </w:rPr>
        <w:t xml:space="preserve"> </w:t>
      </w:r>
      <w:r>
        <w:rPr>
          <w:rFonts w:eastAsia="Times New Roman" w:cs="Times New Roman"/>
          <w:b/>
          <w:szCs w:val="24"/>
          <w:lang w:eastAsia="en-GB"/>
        </w:rPr>
        <w:t>и</w:t>
      </w:r>
      <w:r w:rsidRPr="00B61272">
        <w:rPr>
          <w:rFonts w:eastAsia="Times New Roman" w:cs="Times New Roman"/>
          <w:b/>
          <w:szCs w:val="24"/>
          <w:lang w:eastAsia="en-GB"/>
        </w:rPr>
        <w:t xml:space="preserve"> </w:t>
      </w:r>
      <w:r>
        <w:rPr>
          <w:rFonts w:eastAsia="Times New Roman" w:cs="Times New Roman"/>
          <w:b/>
          <w:szCs w:val="24"/>
          <w:lang w:eastAsia="en-GB"/>
        </w:rPr>
        <w:t>документы</w:t>
      </w:r>
    </w:p>
    <w:p w:rsidR="001D4928" w:rsidRPr="00A21B67" w:rsidRDefault="001D4928" w:rsidP="001D120F">
      <w:pPr>
        <w:spacing w:after="0"/>
        <w:rPr>
          <w:lang w:eastAsia="en-GB"/>
        </w:rPr>
      </w:pPr>
      <w:r w:rsidRPr="00A21B67">
        <w:rPr>
          <w:b/>
          <w:lang w:val="en-US" w:eastAsia="en-GB"/>
        </w:rPr>
        <w:t>URL</w:t>
      </w:r>
      <w:r w:rsidRPr="00A21B67">
        <w:rPr>
          <w:lang w:eastAsia="en-GB"/>
        </w:rPr>
        <w:t>:</w:t>
      </w:r>
    </w:p>
    <w:p w:rsidR="001D4928" w:rsidRPr="001D120F" w:rsidRDefault="001D120F" w:rsidP="001D120F">
      <w:pPr>
        <w:spacing w:after="0"/>
        <w:rPr>
          <w:lang w:eastAsia="en-GB"/>
        </w:rPr>
      </w:pPr>
      <w:hyperlink r:id="rId12" w:history="1">
        <w:r w:rsidRPr="002408A3">
          <w:rPr>
            <w:rStyle w:val="ac"/>
            <w:lang w:eastAsia="en-GB"/>
          </w:rPr>
          <w:t>http://sdg4-data.uis.unesco.org/</w:t>
        </w:r>
      </w:hyperlink>
    </w:p>
    <w:p w:rsidR="001D4928" w:rsidRPr="00A21B67" w:rsidRDefault="001D4928" w:rsidP="001D120F">
      <w:pPr>
        <w:spacing w:after="0"/>
        <w:rPr>
          <w:b/>
          <w:lang w:eastAsia="en-GB"/>
        </w:rPr>
      </w:pPr>
      <w:r w:rsidRPr="00A21B67">
        <w:rPr>
          <w:b/>
          <w:lang w:eastAsia="en-GB"/>
        </w:rPr>
        <w:t>Использованные документы:</w:t>
      </w:r>
    </w:p>
    <w:p w:rsidR="001D120F" w:rsidRDefault="001D120F" w:rsidP="001D120F">
      <w:pPr>
        <w:spacing w:after="0"/>
        <w:rPr>
          <w:lang w:eastAsia="en-GB"/>
        </w:rPr>
      </w:pPr>
      <w:r>
        <w:rPr>
          <w:lang w:eastAsia="en-GB"/>
        </w:rPr>
        <w:t>Учебное пособие И</w:t>
      </w:r>
      <w:r>
        <w:rPr>
          <w:lang w:eastAsia="en-GB"/>
        </w:rPr>
        <w:t>С</w:t>
      </w:r>
      <w:r>
        <w:rPr>
          <w:lang w:eastAsia="en-GB"/>
        </w:rPr>
        <w:t>Ю: Исследование формального образования</w:t>
      </w:r>
    </w:p>
    <w:p w:rsidR="001D120F" w:rsidRDefault="001D120F" w:rsidP="001D120F">
      <w:pPr>
        <w:spacing w:after="0"/>
        <w:rPr>
          <w:lang w:eastAsia="en-GB"/>
        </w:rPr>
      </w:pPr>
      <w:hyperlink r:id="rId13" w:history="1">
        <w:r w:rsidRPr="002408A3">
          <w:rPr>
            <w:rStyle w:val="ac"/>
            <w:lang w:eastAsia="en-GB"/>
          </w:rPr>
          <w:t>https://uis.unesco.org/sites/default/files/questionnaires/UIS_ED_M_2024_EN.pdf</w:t>
        </w:r>
      </w:hyperlink>
    </w:p>
    <w:p w:rsidR="001D120F" w:rsidRDefault="001D120F" w:rsidP="001D120F">
      <w:pPr>
        <w:spacing w:after="0"/>
        <w:rPr>
          <w:lang w:eastAsia="en-GB"/>
        </w:rPr>
      </w:pPr>
    </w:p>
    <w:p w:rsidR="001D120F" w:rsidRDefault="001D120F" w:rsidP="001D120F">
      <w:pPr>
        <w:spacing w:after="0"/>
        <w:rPr>
          <w:lang w:eastAsia="en-GB"/>
        </w:rPr>
      </w:pPr>
      <w:r>
        <w:rPr>
          <w:lang w:eastAsia="en-GB"/>
        </w:rPr>
        <w:t>Сбор данных UOE по формальному образованию: Руководство по понятиям, определениям и классификациям</w:t>
      </w:r>
    </w:p>
    <w:p w:rsidR="001D120F" w:rsidRDefault="001D120F" w:rsidP="001D120F">
      <w:pPr>
        <w:spacing w:after="0"/>
        <w:rPr>
          <w:lang w:eastAsia="en-GB"/>
        </w:rPr>
      </w:pPr>
      <w:hyperlink r:id="rId14" w:history="1">
        <w:r w:rsidRPr="002408A3">
          <w:rPr>
            <w:rStyle w:val="ac"/>
            <w:lang w:eastAsia="en-GB"/>
          </w:rPr>
          <w:t>https://www.oecd.org/statistics/data-collection/UOE-Manual.pdf</w:t>
        </w:r>
      </w:hyperlink>
    </w:p>
    <w:p w:rsidR="001D120F" w:rsidRDefault="001D120F" w:rsidP="001D120F">
      <w:pPr>
        <w:spacing w:after="0"/>
        <w:rPr>
          <w:lang w:eastAsia="en-GB"/>
        </w:rPr>
      </w:pPr>
    </w:p>
    <w:p w:rsidR="001D120F" w:rsidRDefault="001D120F" w:rsidP="001D120F">
      <w:pPr>
        <w:spacing w:after="0"/>
        <w:rPr>
          <w:lang w:eastAsia="en-GB"/>
        </w:rPr>
      </w:pPr>
      <w:r>
        <w:rPr>
          <w:lang w:eastAsia="en-GB"/>
        </w:rPr>
        <w:t xml:space="preserve">Анкета </w:t>
      </w:r>
      <w:r>
        <w:rPr>
          <w:lang w:eastAsia="en-GB"/>
        </w:rPr>
        <w:t>И</w:t>
      </w:r>
      <w:r>
        <w:rPr>
          <w:lang w:eastAsia="en-GB"/>
        </w:rPr>
        <w:t>С</w:t>
      </w:r>
      <w:r>
        <w:rPr>
          <w:lang w:eastAsia="en-GB"/>
        </w:rPr>
        <w:t>Ю по расходам на образование (МСКО 0–8)</w:t>
      </w:r>
    </w:p>
    <w:p w:rsidR="001D120F" w:rsidRDefault="001D120F" w:rsidP="001D120F">
      <w:pPr>
        <w:spacing w:after="0"/>
        <w:rPr>
          <w:lang w:eastAsia="en-GB"/>
        </w:rPr>
      </w:pPr>
      <w:hyperlink r:id="rId15" w:history="1">
        <w:r w:rsidRPr="002408A3">
          <w:rPr>
            <w:rStyle w:val="ac"/>
            <w:lang w:eastAsia="en-GB"/>
          </w:rPr>
          <w:t>http://uis.unesco.org/en/uis-questionnaires</w:t>
        </w:r>
      </w:hyperlink>
    </w:p>
    <w:p w:rsidR="001D120F" w:rsidRDefault="001D120F" w:rsidP="001D120F">
      <w:pPr>
        <w:spacing w:after="0"/>
        <w:rPr>
          <w:lang w:eastAsia="en-GB"/>
        </w:rPr>
      </w:pPr>
    </w:p>
    <w:p w:rsidR="001D120F" w:rsidRDefault="001D120F" w:rsidP="001D120F">
      <w:pPr>
        <w:spacing w:after="0"/>
        <w:rPr>
          <w:lang w:eastAsia="en-GB"/>
        </w:rPr>
      </w:pPr>
      <w:r>
        <w:rPr>
          <w:lang w:eastAsia="en-GB"/>
        </w:rPr>
        <w:t xml:space="preserve">Динамические шаблоны </w:t>
      </w:r>
      <w:r>
        <w:rPr>
          <w:lang w:eastAsia="en-GB"/>
        </w:rPr>
        <w:t>ИСЮ</w:t>
      </w:r>
      <w:r>
        <w:rPr>
          <w:lang w:eastAsia="en-GB"/>
        </w:rPr>
        <w:t>:</w:t>
      </w:r>
    </w:p>
    <w:p w:rsidR="001D120F" w:rsidRDefault="001D120F" w:rsidP="001D120F">
      <w:pPr>
        <w:spacing w:after="0"/>
        <w:rPr>
          <w:lang w:eastAsia="en-GB"/>
        </w:rPr>
      </w:pPr>
      <w:hyperlink r:id="rId16" w:history="1">
        <w:r w:rsidRPr="002408A3">
          <w:rPr>
            <w:rStyle w:val="ac"/>
            <w:lang w:eastAsia="en-GB"/>
          </w:rPr>
          <w:t>https://tcg.uis.unesco.org/wp-content/uploads/sites/4/2022/11/WG_EMIS_2_Dynamic-Templates.pdf</w:t>
        </w:r>
      </w:hyperlink>
    </w:p>
    <w:p w:rsidR="001D120F" w:rsidRDefault="001D120F" w:rsidP="001D120F">
      <w:pPr>
        <w:spacing w:after="0"/>
        <w:rPr>
          <w:lang w:eastAsia="en-GB"/>
        </w:rPr>
      </w:pPr>
    </w:p>
    <w:p w:rsidR="001D120F" w:rsidRDefault="001D120F" w:rsidP="001D120F">
      <w:pPr>
        <w:spacing w:after="0"/>
        <w:rPr>
          <w:lang w:eastAsia="en-GB"/>
        </w:rPr>
      </w:pPr>
      <w:r>
        <w:rPr>
          <w:lang w:eastAsia="en-GB"/>
        </w:rPr>
        <w:t>Перспективы мировой экономики МВФ</w:t>
      </w:r>
    </w:p>
    <w:p w:rsidR="001D4928" w:rsidRPr="001D120F" w:rsidRDefault="001D120F" w:rsidP="001D120F">
      <w:pPr>
        <w:spacing w:after="0"/>
        <w:rPr>
          <w:lang w:eastAsia="en-GB"/>
        </w:rPr>
      </w:pPr>
      <w:hyperlink r:id="rId17" w:history="1">
        <w:r w:rsidRPr="002408A3">
          <w:rPr>
            <w:rStyle w:val="ac"/>
            <w:lang w:eastAsia="en-GB"/>
          </w:rPr>
          <w:t>https://www.imf.org/en/Publications/WEO</w:t>
        </w:r>
      </w:hyperlink>
    </w:p>
    <w:sectPr w:rsidR="001D4928" w:rsidRPr="001D120F">
      <w:head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C2" w:rsidRDefault="006704C2" w:rsidP="00F73DBC">
      <w:pPr>
        <w:spacing w:after="0" w:line="240" w:lineRule="auto"/>
      </w:pPr>
      <w:r>
        <w:separator/>
      </w:r>
    </w:p>
  </w:endnote>
  <w:endnote w:type="continuationSeparator" w:id="0">
    <w:p w:rsidR="006704C2" w:rsidRDefault="006704C2"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Segoe Print"/>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C2" w:rsidRDefault="006704C2" w:rsidP="00F73DBC">
      <w:pPr>
        <w:spacing w:after="0" w:line="240" w:lineRule="auto"/>
      </w:pPr>
      <w:r>
        <w:separator/>
      </w:r>
    </w:p>
  </w:footnote>
  <w:footnote w:type="continuationSeparator" w:id="0">
    <w:p w:rsidR="006704C2" w:rsidRDefault="006704C2"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Default="009508D1" w:rsidP="009508D1">
    <w:pPr>
      <w:pStyle w:val="ae"/>
      <w:jc w:val="right"/>
      <w:rPr>
        <w:i/>
      </w:rPr>
    </w:pPr>
    <w:r w:rsidRPr="009508D1">
      <w:rPr>
        <w:i/>
      </w:rPr>
      <w:t>Неофициальный перевод</w:t>
    </w:r>
    <w:r>
      <w:rPr>
        <w:i/>
      </w:rPr>
      <w:t xml:space="preserve"> </w:t>
    </w:r>
  </w:p>
  <w:p w:rsidR="009508D1" w:rsidRPr="009508D1" w:rsidRDefault="009508D1" w:rsidP="009508D1">
    <w:pPr>
      <w:pStyle w:val="ae"/>
      <w:jc w:val="right"/>
    </w:pPr>
    <w:r>
      <w:t xml:space="preserve">Последнее обновление: </w:t>
    </w:r>
    <w:r w:rsidR="00D10604">
      <w:t>июль</w:t>
    </w:r>
    <w:r w:rsidR="00781DE7">
      <w:t xml:space="preserve"> </w:t>
    </w:r>
    <w:r w:rsidR="00D10604">
      <w:t>2024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9321F9"/>
    <w:multiLevelType w:val="hybridMultilevel"/>
    <w:tmpl w:val="2D928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7F6AE9"/>
    <w:multiLevelType w:val="hybridMultilevel"/>
    <w:tmpl w:val="6660D0C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8250B6"/>
    <w:multiLevelType w:val="hybridMultilevel"/>
    <w:tmpl w:val="5C9A1A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3678C"/>
    <w:rsid w:val="00040034"/>
    <w:rsid w:val="0004041B"/>
    <w:rsid w:val="000476F9"/>
    <w:rsid w:val="00053D20"/>
    <w:rsid w:val="00090327"/>
    <w:rsid w:val="000A210D"/>
    <w:rsid w:val="000A229E"/>
    <w:rsid w:val="000F12FF"/>
    <w:rsid w:val="000F2F5C"/>
    <w:rsid w:val="00111F93"/>
    <w:rsid w:val="00116248"/>
    <w:rsid w:val="001470A2"/>
    <w:rsid w:val="00165896"/>
    <w:rsid w:val="001A163A"/>
    <w:rsid w:val="001D120F"/>
    <w:rsid w:val="001D4928"/>
    <w:rsid w:val="001E2FC9"/>
    <w:rsid w:val="00202628"/>
    <w:rsid w:val="00211C36"/>
    <w:rsid w:val="002450DD"/>
    <w:rsid w:val="002714E1"/>
    <w:rsid w:val="00285331"/>
    <w:rsid w:val="00291FA0"/>
    <w:rsid w:val="00293F4F"/>
    <w:rsid w:val="002E122C"/>
    <w:rsid w:val="002E15F9"/>
    <w:rsid w:val="002F63E5"/>
    <w:rsid w:val="00303D71"/>
    <w:rsid w:val="0031106B"/>
    <w:rsid w:val="003143BC"/>
    <w:rsid w:val="00340A25"/>
    <w:rsid w:val="00342355"/>
    <w:rsid w:val="00362A2D"/>
    <w:rsid w:val="003746BC"/>
    <w:rsid w:val="0039054D"/>
    <w:rsid w:val="003D58DC"/>
    <w:rsid w:val="00407E4E"/>
    <w:rsid w:val="004143B4"/>
    <w:rsid w:val="00421928"/>
    <w:rsid w:val="00434B7C"/>
    <w:rsid w:val="00495155"/>
    <w:rsid w:val="004B1138"/>
    <w:rsid w:val="004E087E"/>
    <w:rsid w:val="005E47BD"/>
    <w:rsid w:val="006477DD"/>
    <w:rsid w:val="006704C2"/>
    <w:rsid w:val="00694160"/>
    <w:rsid w:val="006B260E"/>
    <w:rsid w:val="006B3939"/>
    <w:rsid w:val="006D7049"/>
    <w:rsid w:val="006E27A5"/>
    <w:rsid w:val="00702333"/>
    <w:rsid w:val="00705161"/>
    <w:rsid w:val="0075371E"/>
    <w:rsid w:val="00780F08"/>
    <w:rsid w:val="00781DE7"/>
    <w:rsid w:val="007A6D6F"/>
    <w:rsid w:val="007B0CFD"/>
    <w:rsid w:val="007C27E0"/>
    <w:rsid w:val="007D1185"/>
    <w:rsid w:val="007F06DF"/>
    <w:rsid w:val="00800263"/>
    <w:rsid w:val="00836F3E"/>
    <w:rsid w:val="00853C09"/>
    <w:rsid w:val="00856697"/>
    <w:rsid w:val="00867A12"/>
    <w:rsid w:val="00880AF9"/>
    <w:rsid w:val="008C5BAF"/>
    <w:rsid w:val="00916F68"/>
    <w:rsid w:val="00936FD2"/>
    <w:rsid w:val="009508D1"/>
    <w:rsid w:val="00957A62"/>
    <w:rsid w:val="00980F79"/>
    <w:rsid w:val="00982FE8"/>
    <w:rsid w:val="009A39FD"/>
    <w:rsid w:val="009B173D"/>
    <w:rsid w:val="009C064B"/>
    <w:rsid w:val="00A21ACA"/>
    <w:rsid w:val="00A21B67"/>
    <w:rsid w:val="00A5349E"/>
    <w:rsid w:val="00A618FC"/>
    <w:rsid w:val="00A71EC6"/>
    <w:rsid w:val="00A82CD3"/>
    <w:rsid w:val="00A91FDE"/>
    <w:rsid w:val="00A921E0"/>
    <w:rsid w:val="00A9362E"/>
    <w:rsid w:val="00AB7F96"/>
    <w:rsid w:val="00AC1A97"/>
    <w:rsid w:val="00AE0347"/>
    <w:rsid w:val="00B0378B"/>
    <w:rsid w:val="00B11635"/>
    <w:rsid w:val="00B15D63"/>
    <w:rsid w:val="00B61272"/>
    <w:rsid w:val="00B61338"/>
    <w:rsid w:val="00B72F77"/>
    <w:rsid w:val="00BD29EC"/>
    <w:rsid w:val="00BE2C5D"/>
    <w:rsid w:val="00C10554"/>
    <w:rsid w:val="00C2748A"/>
    <w:rsid w:val="00C4254E"/>
    <w:rsid w:val="00C43FC9"/>
    <w:rsid w:val="00C8596F"/>
    <w:rsid w:val="00CA1CB1"/>
    <w:rsid w:val="00CF6751"/>
    <w:rsid w:val="00D05466"/>
    <w:rsid w:val="00D10604"/>
    <w:rsid w:val="00D2619D"/>
    <w:rsid w:val="00D448FB"/>
    <w:rsid w:val="00D475FE"/>
    <w:rsid w:val="00DA19D7"/>
    <w:rsid w:val="00DD6819"/>
    <w:rsid w:val="00E123F7"/>
    <w:rsid w:val="00E2004D"/>
    <w:rsid w:val="00E21B43"/>
    <w:rsid w:val="00E27922"/>
    <w:rsid w:val="00E33CA8"/>
    <w:rsid w:val="00E52DD6"/>
    <w:rsid w:val="00E90BD4"/>
    <w:rsid w:val="00EB362A"/>
    <w:rsid w:val="00EB389E"/>
    <w:rsid w:val="00EE0900"/>
    <w:rsid w:val="00EE4B93"/>
    <w:rsid w:val="00F554F3"/>
    <w:rsid w:val="00F6024E"/>
    <w:rsid w:val="00F6371F"/>
    <w:rsid w:val="00F73DBC"/>
    <w:rsid w:val="00F84FF1"/>
    <w:rsid w:val="00F86BAB"/>
    <w:rsid w:val="00F92D6F"/>
    <w:rsid w:val="00FB6036"/>
    <w:rsid w:val="00FB66D9"/>
    <w:rsid w:val="00FC3255"/>
    <w:rsid w:val="00FE1892"/>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347"/>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customStyle="1" w:styleId="ezkurwreuab5ozgtqnkl">
    <w:name w:val="ezkurwreuab5ozgtqnkl"/>
    <w:basedOn w:val="a0"/>
    <w:rsid w:val="00342355"/>
  </w:style>
  <w:style w:type="character" w:styleId="af4">
    <w:name w:val="Strong"/>
    <w:basedOn w:val="a0"/>
    <w:uiPriority w:val="22"/>
    <w:qFormat/>
    <w:rsid w:val="00936FD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347"/>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character" w:customStyle="1" w:styleId="ezkurwreuab5ozgtqnkl">
    <w:name w:val="ezkurwreuab5ozgtqnkl"/>
    <w:basedOn w:val="a0"/>
    <w:rsid w:val="00342355"/>
  </w:style>
  <w:style w:type="character" w:styleId="af4">
    <w:name w:val="Strong"/>
    <w:basedOn w:val="a0"/>
    <w:uiPriority w:val="22"/>
    <w:qFormat/>
    <w:rsid w:val="00936F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09532">
      <w:bodyDiv w:val="1"/>
      <w:marLeft w:val="0"/>
      <w:marRight w:val="0"/>
      <w:marTop w:val="0"/>
      <w:marBottom w:val="0"/>
      <w:divBdr>
        <w:top w:val="none" w:sz="0" w:space="0" w:color="auto"/>
        <w:left w:val="none" w:sz="0" w:space="0" w:color="auto"/>
        <w:bottom w:val="none" w:sz="0" w:space="0" w:color="auto"/>
        <w:right w:val="none" w:sz="0" w:space="0" w:color="auto"/>
      </w:divBdr>
    </w:div>
    <w:div w:id="43452884">
      <w:bodyDiv w:val="1"/>
      <w:marLeft w:val="0"/>
      <w:marRight w:val="0"/>
      <w:marTop w:val="0"/>
      <w:marBottom w:val="0"/>
      <w:divBdr>
        <w:top w:val="none" w:sz="0" w:space="0" w:color="auto"/>
        <w:left w:val="none" w:sz="0" w:space="0" w:color="auto"/>
        <w:bottom w:val="none" w:sz="0" w:space="0" w:color="auto"/>
        <w:right w:val="none" w:sz="0" w:space="0" w:color="auto"/>
      </w:divBdr>
    </w:div>
    <w:div w:id="143401736">
      <w:bodyDiv w:val="1"/>
      <w:marLeft w:val="0"/>
      <w:marRight w:val="0"/>
      <w:marTop w:val="0"/>
      <w:marBottom w:val="0"/>
      <w:divBdr>
        <w:top w:val="none" w:sz="0" w:space="0" w:color="auto"/>
        <w:left w:val="none" w:sz="0" w:space="0" w:color="auto"/>
        <w:bottom w:val="none" w:sz="0" w:space="0" w:color="auto"/>
        <w:right w:val="none" w:sz="0" w:space="0" w:color="auto"/>
      </w:divBdr>
    </w:div>
    <w:div w:id="213273353">
      <w:bodyDiv w:val="1"/>
      <w:marLeft w:val="0"/>
      <w:marRight w:val="0"/>
      <w:marTop w:val="0"/>
      <w:marBottom w:val="0"/>
      <w:divBdr>
        <w:top w:val="none" w:sz="0" w:space="0" w:color="auto"/>
        <w:left w:val="none" w:sz="0" w:space="0" w:color="auto"/>
        <w:bottom w:val="none" w:sz="0" w:space="0" w:color="auto"/>
        <w:right w:val="none" w:sz="0" w:space="0" w:color="auto"/>
      </w:divBdr>
    </w:div>
    <w:div w:id="277764054">
      <w:bodyDiv w:val="1"/>
      <w:marLeft w:val="0"/>
      <w:marRight w:val="0"/>
      <w:marTop w:val="0"/>
      <w:marBottom w:val="0"/>
      <w:divBdr>
        <w:top w:val="none" w:sz="0" w:space="0" w:color="auto"/>
        <w:left w:val="none" w:sz="0" w:space="0" w:color="auto"/>
        <w:bottom w:val="none" w:sz="0" w:space="0" w:color="auto"/>
        <w:right w:val="none" w:sz="0" w:space="0" w:color="auto"/>
      </w:divBdr>
    </w:div>
    <w:div w:id="548417765">
      <w:bodyDiv w:val="1"/>
      <w:marLeft w:val="0"/>
      <w:marRight w:val="0"/>
      <w:marTop w:val="0"/>
      <w:marBottom w:val="0"/>
      <w:divBdr>
        <w:top w:val="none" w:sz="0" w:space="0" w:color="auto"/>
        <w:left w:val="none" w:sz="0" w:space="0" w:color="auto"/>
        <w:bottom w:val="none" w:sz="0" w:space="0" w:color="auto"/>
        <w:right w:val="none" w:sz="0" w:space="0" w:color="auto"/>
      </w:divBdr>
    </w:div>
    <w:div w:id="551042479">
      <w:bodyDiv w:val="1"/>
      <w:marLeft w:val="0"/>
      <w:marRight w:val="0"/>
      <w:marTop w:val="0"/>
      <w:marBottom w:val="0"/>
      <w:divBdr>
        <w:top w:val="none" w:sz="0" w:space="0" w:color="auto"/>
        <w:left w:val="none" w:sz="0" w:space="0" w:color="auto"/>
        <w:bottom w:val="none" w:sz="0" w:space="0" w:color="auto"/>
        <w:right w:val="none" w:sz="0" w:space="0" w:color="auto"/>
      </w:divBdr>
    </w:div>
    <w:div w:id="707410641">
      <w:bodyDiv w:val="1"/>
      <w:marLeft w:val="0"/>
      <w:marRight w:val="0"/>
      <w:marTop w:val="0"/>
      <w:marBottom w:val="0"/>
      <w:divBdr>
        <w:top w:val="none" w:sz="0" w:space="0" w:color="auto"/>
        <w:left w:val="none" w:sz="0" w:space="0" w:color="auto"/>
        <w:bottom w:val="none" w:sz="0" w:space="0" w:color="auto"/>
        <w:right w:val="none" w:sz="0" w:space="0" w:color="auto"/>
      </w:divBdr>
    </w:div>
    <w:div w:id="1151605023">
      <w:bodyDiv w:val="1"/>
      <w:marLeft w:val="0"/>
      <w:marRight w:val="0"/>
      <w:marTop w:val="0"/>
      <w:marBottom w:val="0"/>
      <w:divBdr>
        <w:top w:val="none" w:sz="0" w:space="0" w:color="auto"/>
        <w:left w:val="none" w:sz="0" w:space="0" w:color="auto"/>
        <w:bottom w:val="none" w:sz="0" w:space="0" w:color="auto"/>
        <w:right w:val="none" w:sz="0" w:space="0" w:color="auto"/>
      </w:divBdr>
    </w:div>
    <w:div w:id="1152336677">
      <w:bodyDiv w:val="1"/>
      <w:marLeft w:val="0"/>
      <w:marRight w:val="0"/>
      <w:marTop w:val="0"/>
      <w:marBottom w:val="0"/>
      <w:divBdr>
        <w:top w:val="none" w:sz="0" w:space="0" w:color="auto"/>
        <w:left w:val="none" w:sz="0" w:space="0" w:color="auto"/>
        <w:bottom w:val="none" w:sz="0" w:space="0" w:color="auto"/>
        <w:right w:val="none" w:sz="0" w:space="0" w:color="auto"/>
      </w:divBdr>
    </w:div>
    <w:div w:id="1173955214">
      <w:bodyDiv w:val="1"/>
      <w:marLeft w:val="0"/>
      <w:marRight w:val="0"/>
      <w:marTop w:val="0"/>
      <w:marBottom w:val="0"/>
      <w:divBdr>
        <w:top w:val="none" w:sz="0" w:space="0" w:color="auto"/>
        <w:left w:val="none" w:sz="0" w:space="0" w:color="auto"/>
        <w:bottom w:val="none" w:sz="0" w:space="0" w:color="auto"/>
        <w:right w:val="none" w:sz="0" w:space="0" w:color="auto"/>
      </w:divBdr>
    </w:div>
    <w:div w:id="1256861421">
      <w:bodyDiv w:val="1"/>
      <w:marLeft w:val="0"/>
      <w:marRight w:val="0"/>
      <w:marTop w:val="0"/>
      <w:marBottom w:val="0"/>
      <w:divBdr>
        <w:top w:val="none" w:sz="0" w:space="0" w:color="auto"/>
        <w:left w:val="none" w:sz="0" w:space="0" w:color="auto"/>
        <w:bottom w:val="none" w:sz="0" w:space="0" w:color="auto"/>
        <w:right w:val="none" w:sz="0" w:space="0" w:color="auto"/>
      </w:divBdr>
    </w:div>
    <w:div w:id="1351832080">
      <w:bodyDiv w:val="1"/>
      <w:marLeft w:val="0"/>
      <w:marRight w:val="0"/>
      <w:marTop w:val="0"/>
      <w:marBottom w:val="0"/>
      <w:divBdr>
        <w:top w:val="none" w:sz="0" w:space="0" w:color="auto"/>
        <w:left w:val="none" w:sz="0" w:space="0" w:color="auto"/>
        <w:bottom w:val="none" w:sz="0" w:space="0" w:color="auto"/>
        <w:right w:val="none" w:sz="0" w:space="0" w:color="auto"/>
      </w:divBdr>
    </w:div>
    <w:div w:id="1395468664">
      <w:bodyDiv w:val="1"/>
      <w:marLeft w:val="0"/>
      <w:marRight w:val="0"/>
      <w:marTop w:val="0"/>
      <w:marBottom w:val="0"/>
      <w:divBdr>
        <w:top w:val="none" w:sz="0" w:space="0" w:color="auto"/>
        <w:left w:val="none" w:sz="0" w:space="0" w:color="auto"/>
        <w:bottom w:val="none" w:sz="0" w:space="0" w:color="auto"/>
        <w:right w:val="none" w:sz="0" w:space="0" w:color="auto"/>
      </w:divBdr>
    </w:div>
    <w:div w:id="1453791892">
      <w:bodyDiv w:val="1"/>
      <w:marLeft w:val="0"/>
      <w:marRight w:val="0"/>
      <w:marTop w:val="0"/>
      <w:marBottom w:val="0"/>
      <w:divBdr>
        <w:top w:val="none" w:sz="0" w:space="0" w:color="auto"/>
        <w:left w:val="none" w:sz="0" w:space="0" w:color="auto"/>
        <w:bottom w:val="none" w:sz="0" w:space="0" w:color="auto"/>
        <w:right w:val="none" w:sz="0" w:space="0" w:color="auto"/>
      </w:divBdr>
    </w:div>
    <w:div w:id="1572424741">
      <w:bodyDiv w:val="1"/>
      <w:marLeft w:val="0"/>
      <w:marRight w:val="0"/>
      <w:marTop w:val="0"/>
      <w:marBottom w:val="0"/>
      <w:divBdr>
        <w:top w:val="none" w:sz="0" w:space="0" w:color="auto"/>
        <w:left w:val="none" w:sz="0" w:space="0" w:color="auto"/>
        <w:bottom w:val="none" w:sz="0" w:space="0" w:color="auto"/>
        <w:right w:val="none" w:sz="0" w:space="0" w:color="auto"/>
      </w:divBdr>
    </w:div>
    <w:div w:id="1642150661">
      <w:bodyDiv w:val="1"/>
      <w:marLeft w:val="0"/>
      <w:marRight w:val="0"/>
      <w:marTop w:val="0"/>
      <w:marBottom w:val="0"/>
      <w:divBdr>
        <w:top w:val="none" w:sz="0" w:space="0" w:color="auto"/>
        <w:left w:val="none" w:sz="0" w:space="0" w:color="auto"/>
        <w:bottom w:val="none" w:sz="0" w:space="0" w:color="auto"/>
        <w:right w:val="none" w:sz="0" w:space="0" w:color="auto"/>
      </w:divBdr>
    </w:div>
    <w:div w:id="1735928329">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506017">
      <w:bodyDiv w:val="1"/>
      <w:marLeft w:val="0"/>
      <w:marRight w:val="0"/>
      <w:marTop w:val="0"/>
      <w:marBottom w:val="0"/>
      <w:divBdr>
        <w:top w:val="none" w:sz="0" w:space="0" w:color="auto"/>
        <w:left w:val="none" w:sz="0" w:space="0" w:color="auto"/>
        <w:bottom w:val="none" w:sz="0" w:space="0" w:color="auto"/>
        <w:right w:val="none" w:sz="0" w:space="0" w:color="auto"/>
      </w:divBdr>
    </w:div>
    <w:div w:id="200188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is.unesco.org/sites/default/files/questionnaires/UIS_ED_M_2024_EN.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g4-data.uis.unesco.org/" TargetMode="External"/><Relationship Id="rId17" Type="http://schemas.openxmlformats.org/officeDocument/2006/relationships/hyperlink" Target="https://www.imf.org/en/Publications/WEO" TargetMode="External"/><Relationship Id="rId2" Type="http://schemas.openxmlformats.org/officeDocument/2006/relationships/numbering" Target="numbering.xml"/><Relationship Id="rId16" Type="http://schemas.openxmlformats.org/officeDocument/2006/relationships/hyperlink" Target="https://tcg.uis.unesco.org/wp-content/uploads/sites/4/2022/11/WG_EMIS_2_Dynamic-Templat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oe.gov.bn/DocumentDownloads/Education%202030/Education2030.pdf" TargetMode="External"/><Relationship Id="rId5" Type="http://schemas.openxmlformats.org/officeDocument/2006/relationships/settings" Target="settings.xml"/><Relationship Id="rId15" Type="http://schemas.openxmlformats.org/officeDocument/2006/relationships/hyperlink" Target="http://uis.unesco.org/en/uis-questionnaires" TargetMode="External"/><Relationship Id="rId10" Type="http://schemas.openxmlformats.org/officeDocument/2006/relationships/hyperlink" Target="http://www.youtube.com/playlist?list=PLmYAE4wV1YQzimXjDWMQ-4GwConTsP7-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mf.org/external/np/sta/gfsm/" TargetMode="External"/><Relationship Id="rId14" Type="http://schemas.openxmlformats.org/officeDocument/2006/relationships/hyperlink" Target="https://www.oecd.org/statistics/data-collection/UOE-Manua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4BFFB-7EBE-44A7-94E1-2C3AAFD8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4015</Words>
  <Characters>22888</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32</cp:revision>
  <dcterms:created xsi:type="dcterms:W3CDTF">2022-01-28T09:47:00Z</dcterms:created>
  <dcterms:modified xsi:type="dcterms:W3CDTF">2024-07-09T14:35:00Z</dcterms:modified>
</cp:coreProperties>
</file>